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FZV 2023 — Sofortige Inbetriebsetzung nach Entscheidung der Zulassungsbehörde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Stand: 01.09.2023 (konsolidierte Textfassung, kein amtliches Inkrafttretensdatum)</w:t>
      </w:r>
    </w:p>
    <w:p>
      <w:r>
        <w:t xml:space="preserve">Für die sofortige Inbetriebsetzung eines Fahrzeuges gelten die Vorschriften des Unterabschnitts 4 mit der Maßgabe, dass an die Stelle des Abrufs der Entscheidung die Bekanntgabe in elektronischer Form tritt.</w:t>
      </w:r>
    </w:p>
    <w:p>
      <w:r>
        <w:rPr>
          <w:color w:val="555555"/>
          <w:sz w:val="17"/>
        </w:rPr>
        <w:t xml:space="preserve">Zitiervorschlag: § 40 FZV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https://recht.nulegal.eu/gesetze/FZV%202023/40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