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FZV 2023 — Identifizierungsmerkmal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Mit der Bekanntgabe über die Registrierung hat das Kraftfahrt-Bundesamt dem registrierten Großkunden ein nicht personenbezogenes Identifizierungsmerkmal, das eindeutig sein muss, elektronisch zu übermitteln.</w:t>
      </w:r>
    </w:p>
    <w:p>
      <w:r>
        <w:t xml:space="preserve">(2) Der Großkunde hat das Identifizierungsmerkmal nach Absatz 1 bei jedem Antrag, den er über die Großkundenschnittstelle stellt, anzugeben.</w:t>
      </w:r>
    </w:p>
    <w:p>
      <w:r>
        <w:rPr>
          <w:color w:val="555555"/>
          <w:sz w:val="17"/>
        </w:rPr>
        <w:t xml:space="preserve">Zitiervorschlag: § 35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