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FZV 2023 — Registrierung als Großkunde</w:t>
      </w:r>
    </w:p>
    <w:p>
      <w:r>
        <w:rPr>
          <w:color w:val="555555"/>
          <w:sz w:val="18"/>
        </w:rPr>
        <w:t xml:space="preserve">Fahrzeug-Zulassungsverordnung</w:t>
      </w:r>
    </w:p>
    <w:p>
      <w:r>
        <w:rPr>
          <w:color w:val="555555"/>
          <w:sz w:val="18"/>
        </w:rPr>
        <w:t xml:space="preserve">Stand: 31.12.2025 (konsolidierte Textfassung, kein amtliches Inkrafttretensdatum)</w:t>
      </w:r>
    </w:p>
    <w:p>
      <w:r>
        <w:t xml:space="preserve">(1) Eine juristische Person des Privatrechts, die jährlich regelmäßig mehr als 500 Anträge im Sinne des § 33 Absatz 1 stellt und beim Kraftfahrt-Bundesamt einen elektronischen Antrag auf Registrierung als Großkunde stellt, ist vom Kraftfahrt-Bundesamt als Großkunde zu registrieren. Im Auftrag einer Zulassungsbehörde beteiligte Verfahrensanbieter dürfen sich nicht als Großkunden registrieren lassen.</w:t>
      </w:r>
    </w:p>
    <w:p>
      <w:r>
        <w:t xml:space="preserve">(2) Die juristische Person hat sich bei der elektronischen Antragstellung im Registrierungsverfahren anhand eines Organisationskontos nach § 3 Absatz 2 in Verbindung mit Absatz 3 des Onlinezugangsgesetzes zu identifizieren. Dabei hat die Identifizierung des Inhabers des Organisationskontos nach § 87a Absatz 6 der Abgabenordnung zu erfolgen. Abweichend von Satz 1 kann eine juristische Person des Privatrechts mit Sitz außerhalb der Bundesrepublik Deutschland, die keinen Zugang zu einem nach Satz 1 bezeichneten Organisationskonto hat, die Registrierung beim Kraftfahrt-Bundesamt durch ein gesondertes Verfahren beantragen.</w:t>
      </w:r>
    </w:p>
    <w:p>
      <w:r>
        <w:t xml:space="preserve">(3) In dem Antrag auf Registrierung als Großkunde sind folgende Daten anzugeben:</w:t>
      </w:r>
    </w:p>
    <w:p>
      <w:pPr>
        <w:ind w:left="420"/>
      </w:pPr>
      <w:r>
        <w:t xml:space="preserve">1. der Name und die Anschrift der juristischen Person,</w:t>
      </w:r>
    </w:p>
    <w:p>
      <w:pPr>
        <w:ind w:left="420"/>
      </w:pPr>
      <w:r>
        <w:t xml:space="preserve">2. eine abweichende Rechnungsanschrift, soweit vorhanden,</w:t>
      </w:r>
    </w:p>
    <w:p>
      <w:pPr>
        <w:ind w:left="420"/>
      </w:pPr>
      <w:r>
        <w:t xml:space="preserve">3. die Namen, die Anschriften, die E-Mail-Adressen und die Telefonnummern von mindestens zwei natürlichen Personen als Kontaktpersonen,</w:t>
      </w:r>
    </w:p>
    <w:p>
      <w:pPr>
        <w:ind w:left="420"/>
      </w:pPr>
      <w:r>
        <w:t xml:space="preserve">4. der Name und die Anschrift sämtlicher Vertragspartner, die im Namen des Großkunden Anträge nach § 33 Absatz 1 stellen,</w:t>
      </w:r>
    </w:p>
    <w:p>
      <w:pPr>
        <w:ind w:left="420"/>
      </w:pPr>
      <w:r>
        <w:t xml:space="preserve">5. die geschätzte Anzahl der zu erwartenden Anträge nach § 33 Absatz 1 pro Jahr und</w:t>
      </w:r>
    </w:p>
    <w:p>
      <w:pPr>
        <w:ind w:left="420"/>
      </w:pPr>
      <w:r>
        <w:t xml:space="preserve">6. die Angabe, ob die Absicht besteht, zusätzlich zu Anträgen auf sich selbst als Halter auch Anträge als Bevollmächtigter für einen Dritten als Antragsteller zu stellen.</w:t>
      </w:r>
    </w:p>
    <w:p>
      <w:r>
        <w:t xml:space="preserve">(4) Die juristische Person hat sich mit dem Antrag auf Registrierung als Großkunde zu Folgendem</w:t>
      </w:r>
    </w:p>
    <w:p>
      <w:pPr>
        <w:ind w:left="420"/>
      </w:pPr>
      <w:r>
        <w:t xml:space="preserve">1. zu verpflichten:</w:t>
      </w:r>
    </w:p>
    <w:p>
      <w:pPr>
        <w:ind w:left="780"/>
      </w:pPr>
      <w:r>
        <w:t xml:space="preserve">a) die nach § 18 Absatz 3 vom Kraftfahrt-Bundesamt bestimmten Anforderungen für den Zugang zur Großkundenschnittstelle einzuhalten,</w:t>
      </w:r>
    </w:p>
    <w:p>
      <w:pPr>
        <w:ind w:left="780"/>
      </w:pPr>
      <w:r>
        <w:t xml:space="preserve">b) die weiteren vom Kraftfahrt-Bundesamt bestimmten Standards für registrierte Großkunden einzuhalten,</w:t>
      </w:r>
    </w:p>
    <w:p>
      <w:pPr>
        <w:ind w:left="780"/>
      </w:pPr>
      <w:r>
        <w:t xml:space="preserve">c) sich nur einmal als Großkunde bei der Großkundenschnittstelle zu registrieren,</w:t>
      </w:r>
    </w:p>
    <w:p>
      <w:pPr>
        <w:ind w:left="780"/>
      </w:pPr>
      <w:r>
        <w:t xml:space="preserve">d) ein aktives Nutzerkonto nach § 3 Absatz 2 des Onlinezugangsgesetzes zu führen sowie die darin enthaltenen Stammdaten auf dem aktuellen Stand zu halten,</w:t>
      </w:r>
    </w:p>
    <w:p>
      <w:pPr>
        <w:ind w:left="780"/>
      </w:pPr>
      <w:r>
        <w:t xml:space="preserve">e) alle anfallenden Gebührenschulden unverzüglich nach Bekanntgabe des jeweiligen Gebührenbescheides der Zulassungsbehörde und des Kraftfahrt-Bundesamts zu begleichen,</w:t>
      </w:r>
    </w:p>
    <w:p>
      <w:pPr>
        <w:ind w:left="780"/>
      </w:pPr>
      <w:r>
        <w:t xml:space="preserve">f) stets eine ausreichende Anzahl von Kennzeichen bei der Zulassungsbehörde zu reservieren,</w:t>
      </w:r>
    </w:p>
    <w:p>
      <w:pPr>
        <w:ind w:left="780"/>
      </w:pPr>
      <w:r>
        <w:t xml:space="preserve">g) nur die reservierten Kennzeichen für Anträge nach § 33 Absatz 1 zu nutzen,</w:t>
      </w:r>
    </w:p>
    <w:p>
      <w:pPr>
        <w:ind w:left="780"/>
      </w:pPr>
      <w:r>
        <w:t xml:space="preserve">h) als registrierter Großkunde alle Änderungen der Angaben nach den Absätzen 3 und 4 unverzüglich dem Kraftfahrt-Bundesamt anzuzeigen,</w:t>
      </w:r>
    </w:p>
    <w:p>
      <w:pPr>
        <w:ind w:left="780"/>
      </w:pPr>
      <w:r>
        <w:t xml:space="preserve">i) die ihm im Rahmen der Registrierung vom Kraftfahrt-Bundesamt zur Verfügung gestellten Daten nicht an Dritte weiterzugeben und</w:t>
      </w:r>
    </w:p>
    <w:p>
      <w:pPr>
        <w:ind w:left="780"/>
      </w:pPr>
      <w:r>
        <w:t xml:space="preserve">j) für die Zuverlässigkeit eines Vertragspartners nach § 34 Absatz 3 Nummer 4 einzustehen und für dessen Verschulden wie eigenes Verschulden zu haften und</w:t>
      </w:r>
    </w:p>
    <w:p>
      <w:pPr>
        <w:ind w:left="420"/>
      </w:pPr>
      <w:r>
        <w:t xml:space="preserve">2. zu bestätigen, dass zum Zeitpunkt des Antrags auf Registrierung keine Eintragungen im Bundeszentralregister nach § 1 Absatz 1 des Bundeszentralregistergesetzes für die Vertretungsberechtigten der juristischen Person und die Kontaktpersonen nach Absatz 2 Nummer 3 wegen rechtskräftiger Verurteilungen im Bereich der Wirtschaft im Sinne des § 74c Absatz 1 Nummer 1 bis Nummer 6 des Gerichtsverfassungsgesetzes bestehen.</w:t>
      </w:r>
    </w:p>
    <w:p>
      <w:r>
        <w:t xml:space="preserve">Satz 1 Nummer 1 Buchstabe a gilt auch im Fall des Beauftragens eines Dienstleisters. Satz 1 Nummer 1 Buchstabe d gilt nicht für Großkunden nach Absatz 2 Satz 3. Satz 1 Nummer 1 Buchstabe f gilt nicht, wenn ein anderes Verfahren zur Kennzeichenvergabe besteht.</w:t>
      </w:r>
    </w:p>
    <w:p>
      <w:r>
        <w:t xml:space="preserve">(5) Die Daten, die nach den Absätzen 1, 3 und 4 anzugeben sind, sind durch ein automatisiertes Programm des Kraftfahrt-Bundesamts maschinell zu verifizieren und auf das Vorliegen der Registrierungsvoraussetzungen zu überprüfen und zu diesen Zwecken zu erheben, zu speichern und zu verwenden. Das Vorliegen der technischen Voraussetzungen zur Anbindung als Großkunde sind in einem Probelauf nach Vorgaben des Kraftfahrt-Bundesamts zu bestätigen.</w:t>
      </w:r>
    </w:p>
    <w:p>
      <w:r>
        <w:t xml:space="preserve">(6) Liegen die Voraussetzungen zur Registrierung nach den Absätzen 1, 3 und 4 vor, ist automatisiert über die Registrierung als Großkunde zu entscheiden. Die Entscheidung ist der antragstellenden Person zum Abruf bereitzustellen</w:t>
      </w:r>
    </w:p>
    <w:p>
      <w:pPr>
        <w:ind w:left="420"/>
      </w:pPr>
      <w:r>
        <w:t xml:space="preserve">1. in Form eines schreibgeschützten Bescheides,</w:t>
      </w:r>
    </w:p>
    <w:p>
      <w:pPr>
        <w:ind w:left="420"/>
      </w:pPr>
      <w:r>
        <w:t xml:space="preserve">2. in einem üblichen Format,</w:t>
      </w:r>
    </w:p>
    <w:p>
      <w:pPr>
        <w:ind w:left="420"/>
      </w:pPr>
      <w:r>
        <w:t xml:space="preserve">3. elektronisch gesiegelt und</w:t>
      </w:r>
    </w:p>
    <w:p>
      <w:pPr>
        <w:ind w:left="420"/>
      </w:pPr>
      <w:r>
        <w:t xml:space="preserve">4. im Postfach des Nutzerkontos im Sinne des § 2 Absatz 7 des Onlinezugangsgesetzes.</w:t>
      </w:r>
    </w:p>
    <w:p>
      <w:r>
        <w:t xml:space="preserve">Der Bescheid ist mit einem Widerrufsvorbehalt nach § 36 Absatz 2 Nummer 3 Verwaltungsverfahrensgesetz zu verbinden.</w:t>
      </w:r>
    </w:p>
    <w:p>
      <w:r>
        <w:rPr>
          <w:color w:val="555555"/>
          <w:sz w:val="17"/>
        </w:rPr>
        <w:t xml:space="preserve">Zitiervorschlag: § 34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https://recht.nulegal.eu/gesetze/FZV%202023/34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