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FZV 2023 — Zulässigkeit der sofortigen Inbetriebsetzung</w:t>
      </w:r>
    </w:p>
    <w:p>
      <w:r>
        <w:rPr>
          <w:color w:val="555555"/>
          <w:sz w:val="18"/>
        </w:rPr>
        <w:t xml:space="preserve">Fahrzeug-Zulassungsverordnung</w:t>
      </w:r>
    </w:p>
    <w:p>
      <w:r>
        <w:rPr>
          <w:color w:val="555555"/>
          <w:sz w:val="18"/>
        </w:rPr>
        <w:t xml:space="preserve">Stand: 31.12.2025 (konsolidierte Textfassung, kein amtliches Inkrafttretensdatum)</w:t>
      </w:r>
    </w:p>
    <w:p>
      <w:r>
        <w:t xml:space="preserve">Ein Fahrzeug darf abweichend von § 12 Absatz 13 Satz 1 Nummer 2 ohne Stempelplaketten oder Plakettenträger bis zum Empfang der nach § 26 Absatz 4 Nummer 4 zu übersendenden Stempelplaketten und Plakettenträger, längstens jedoch für vierzehn Tage, in Betrieb gesetzt werden. Die Frist des Satzes 1 beginnt mit Abruf der automatisierten Entscheidung</w:t>
      </w:r>
    </w:p>
    <w:p>
      <w:pPr>
        <w:ind w:left="420"/>
      </w:pPr>
      <w:r>
        <w:t xml:space="preserve">1. über die internetbasierte Erstzulassung,</w:t>
      </w:r>
    </w:p>
    <w:p>
      <w:pPr>
        <w:ind w:left="420"/>
      </w:pPr>
      <w:r>
        <w:t xml:space="preserve">2. über die die internetbasierte Wiederzulassung oder</w:t>
      </w:r>
    </w:p>
    <w:p>
      <w:pPr>
        <w:ind w:left="420"/>
      </w:pPr>
      <w:r>
        <w:t xml:space="preserve">3. bei einem Halterwechsel nach § 30 Absatz 4.</w:t>
      </w:r>
    </w:p>
    <w:p>
      <w:r>
        <w:t xml:space="preserve">Ein gut lesbarer Ausdruck der abgerufenen automatisierten Entscheidung ist von der das Fahrzeug führenden Person mitzuführen und zuständigen Personen auf Verlangen zur Prüfung auszuhändigen.</w:t>
      </w:r>
    </w:p>
    <w:p>
      <w:r>
        <w:rPr>
          <w:color w:val="555555"/>
          <w:sz w:val="17"/>
        </w:rPr>
        <w:t xml:space="preserve">Zitiervorschlag: § 31 FZV 2023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https://recht.nulegal.eu/gesetze/FZV%202023/31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