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FZV 2023 — Notwendigkeit einer Zulassung</w:t>
      </w:r>
    </w:p>
    <w:p>
      <w:r>
        <w:rPr>
          <w:color w:val="555555"/>
          <w:sz w:val="18"/>
        </w:rPr>
        <w:t xml:space="preserve">Fahrzeug-Zulassungsverordnung</w:t>
      </w:r>
    </w:p>
    <w:p>
      <w:r>
        <w:rPr>
          <w:color w:val="555555"/>
          <w:sz w:val="18"/>
        </w:rPr>
        <w:t xml:space="preserve">Stand: 20.06.2024 (konsolidierte Textfassung, kein amtliches Inkrafttretensdatum)</w:t>
      </w:r>
    </w:p>
    <w:p>
      <w:r>
        <w:t xml:space="preserve">(1) Ein Kraftfahrzeug und seine Anhänger dürfen von der das Fahrzeug führenden Person auf öffentlichen Straßen nur in Betrieb gesetzt werden, wenn sie zum Verkehr zugelassen sind. Die Zulassung wird auf Antrag erteilt, wenn</w:t>
      </w:r>
    </w:p>
    <w:p>
      <w:pPr>
        <w:ind w:left="420"/>
      </w:pPr>
      <w:r>
        <w:t xml:space="preserve">1. das Fahrzeug einem genehmigten Typ entspricht oder für das Fahrzeug eine Fahrzeug-Einzelgenehmigung erteilt ist und</w:t>
      </w:r>
    </w:p>
    <w:p>
      <w:pPr>
        <w:ind w:left="420"/>
      </w:pPr>
      <w:r>
        <w:t xml:space="preserve">2. jeweils eine Kraftfahrzeug-Haftpflichtversicherung nach § 1 des Pflichtversicherungsgesetzes besteht.</w:t>
      </w:r>
    </w:p>
    <w:p>
      <w:r>
        <w:t xml:space="preserve">Die Zulassung hat durch Zuteilung eines Kennzeichens, Abstempelung der Kennzeichenschilder und Ausfertigung einer Zulassungsbescheinigung, soweit nachfolgend nicht etwas anderes bestimmt ist, zu erfolgen.</w:t>
      </w:r>
    </w:p>
    <w:p>
      <w:r>
        <w:t xml:space="preserve">(2) Die Zulassung eines Fahrzeugs mit autonomer Fahrfunktion oder eines Fahrzeugs zur Erprobung von automatisierten oder autonomen Fahrfunktionen richtet sich ergänzend nach den Vorschriften der Autonome-Fahrzeuge-Genehmigungs-und-Betriebs-Verordnung.</w:t>
      </w:r>
    </w:p>
    <w:p>
      <w:r>
        <w:t xml:space="preserve">(3) Einer Zulassung bedürfen nicht</w:t>
      </w:r>
    </w:p>
    <w:p>
      <w:pPr>
        <w:ind w:left="420"/>
      </w:pPr>
      <w:r>
        <w:t xml:space="preserve">1. folgende Arten von Kraftfahrzeugen:</w:t>
      </w:r>
    </w:p>
    <w:p>
      <w:pPr>
        <w:ind w:left="780"/>
      </w:pPr>
      <w:r>
        <w:t xml:space="preserve">a) selbstfahrende Arbeitsmaschinen und Stapler,</w:t>
      </w:r>
    </w:p>
    <w:p>
      <w:pPr>
        <w:ind w:left="780"/>
      </w:pPr>
      <w:r>
        <w:t xml:space="preserve">b) einachsige Zugmaschinen, wenn sie nur für land- oder forstwirtschaftliche Zwecke verwendet werden,</w:t>
      </w:r>
    </w:p>
    <w:p>
      <w:pPr>
        <w:ind w:left="780"/>
      </w:pPr>
      <w:r>
        <w:t xml:space="preserve">c) Leichtkrafträder,</w:t>
      </w:r>
    </w:p>
    <w:p>
      <w:pPr>
        <w:ind w:left="780"/>
      </w:pPr>
      <w:r>
        <w:t xml:space="preserve">d) zwei- oder dreirädrige Kleinkrafträder,</w:t>
      </w:r>
    </w:p>
    <w:p>
      <w:pPr>
        <w:ind w:left="780"/>
      </w:pPr>
      <w:r>
        <w:t xml:space="preserve">e) motorisierte Krankenfahrstühle,</w:t>
      </w:r>
    </w:p>
    <w:p>
      <w:pPr>
        <w:ind w:left="780"/>
      </w:pPr>
      <w:r>
        <w:t xml:space="preserve">f) leichte vierrädrige Kraftfahrzeuge einschließlich vierrädriger Leichtkraftfahrzeuge der Klasse L6e, die nach Artikel 1 Absatz 3 Buchstabe a der Richtlinie 2002/24/EG des Europäischen Parlaments und des Rates vom 18. März 2002 über die Typgenehmigung für zweirädrige oder dreirädrige Kraftfahrzeuge und zur Aufhebung der Richtlinie 92/61/EWG des Rates (ABl. L 124 vom 9.5.2002, S. 1) typgenehmigt wurden,</w:t>
      </w:r>
    </w:p>
    <w:p>
      <w:pPr>
        <w:ind w:left="780"/>
      </w:pPr>
      <w:r>
        <w:t xml:space="preserve">g) Elektrokleinstfahrzeuge im Sinne des § 1 Absatz 1 der Elektrokleinstfahrzeuge-Verordnung,</w:t>
      </w:r>
    </w:p>
    <w:p>
      <w:pPr>
        <w:ind w:left="420"/>
      </w:pPr>
      <w:r>
        <w:t xml:space="preserve">2. folgende Arten von Anhängern:</w:t>
      </w:r>
    </w:p>
    <w:p>
      <w:pPr>
        <w:ind w:left="780"/>
      </w:pPr>
      <w:r>
        <w:t xml:space="preserve">a) Anhänger in land- oder forstwirtschaftlichen Betrieben, wenn die Anhänger nur für land- oder forstwirtschaftliche Zwecke verwendet und mit einer Geschwindigkeit von nicht mehr als 25 Kilometern pro Stunde hinter Zugmaschinen oder selbstfahrenden Arbeitsmaschinen mitgeführt werden,</w:t>
      </w:r>
    </w:p>
    <w:p>
      <w:pPr>
        <w:ind w:left="780"/>
      </w:pPr>
      <w:r>
        <w:t xml:space="preserve">b) Wohnwagen und Packwagen im Schaustellergewerbe, die von Zugmaschinen mit einer Geschwindigkeit von nicht mehr als 25 Kilometern pro Stunde mitgeführt werden,</w:t>
      </w:r>
    </w:p>
    <w:p>
      <w:pPr>
        <w:ind w:left="780"/>
      </w:pPr>
      <w:r>
        <w:t xml:space="preserve">c) fahrbare Baubuden und Toilettenwagen, die von Kraftfahrzeugen mit einer Geschwindigkeit von nicht mehr als 25 Kilometern pro Stunde mitgeführt werden,</w:t>
      </w:r>
    </w:p>
    <w:p>
      <w:pPr>
        <w:ind w:left="780"/>
      </w:pPr>
      <w:r>
        <w:t xml:space="preserve">d) Arbeitsmaschinen,</w:t>
      </w:r>
    </w:p>
    <w:p>
      <w:pPr>
        <w:ind w:left="780"/>
      </w:pPr>
      <w:r>
        <w:t xml:space="preserve">e) Spezialanhänger zur Beförderung von Sportgeräten, von Tieren für Sportzwecke oder von Rettungsbooten der Feuerwehr, des Rettungsdienstes und des Zivil- und Katastrophenschutzes, wenn die Anhänger ausschließlich für solche Beförderungen verwendet werden,</w:t>
      </w:r>
    </w:p>
    <w:p>
      <w:pPr>
        <w:ind w:left="780"/>
      </w:pPr>
      <w:r>
        <w:t xml:space="preserve">f) einachsige Anhänger hinter Krafträdern, Kleinkrafträdern und motorisierten Krankenfahrstühlen,</w:t>
      </w:r>
    </w:p>
    <w:p>
      <w:pPr>
        <w:ind w:left="780"/>
      </w:pPr>
      <w:r>
        <w:t xml:space="preserve">g) Anhänger für den Einsatzzweck der Feuerwehren und des Zivil- und Katastrophenschutzes,</w:t>
      </w:r>
    </w:p>
    <w:p>
      <w:pPr>
        <w:ind w:left="780"/>
      </w:pPr>
      <w:r>
        <w:t xml:space="preserve">h) land- oder forstwirtschaftliche Arbeitsgeräte,</w:t>
      </w:r>
    </w:p>
    <w:p>
      <w:pPr>
        <w:ind w:left="780"/>
      </w:pPr>
      <w:r>
        <w:t xml:space="preserve">i) hinter land- oder forstwirtschaftlichen einachsigen Zug- oder Arbeitsmaschinen mitgeführte Sitzkarren.</w:t>
      </w:r>
    </w:p>
    <w:p>
      <w:r>
        <w:t xml:space="preserve">Anhänger im Sinne des Satzes 1 Nummer 2 Buchstabe a bis c sind nur dann zulassungsfrei, wenn sie für eine Höchstgeschwindigkeit von nicht mehr als 25 Kilometern pro Stunde in der durch § 58 der Straßenverkehrs-Zulassungs-Ordnung vorgeschriebenen Weise gekennzeichnet sind.</w:t>
      </w:r>
    </w:p>
    <w:p>
      <w:r>
        <w:t xml:space="preserve">(4) Auf Antrag können die nach Absatz 3 Satz 1 Nummer 1 Buchstabe a bis f und Nummer 2 zulassungsfreien Fahrzeuge zugelassen werden.</w:t>
      </w:r>
    </w:p>
    <w:p>
      <w:r>
        <w:t xml:space="preserve">(5) Der Halter darf die Inbetriebsetzung eines nach Absatz 1 Satz 1 zulassungspflichtigen Fahrzeuges nur anordnen oder zulassen, wenn das Fahrzeug zugelassen ist.</w:t>
      </w:r>
    </w:p>
    <w:p>
      <w:r>
        <w:rPr>
          <w:color w:val="555555"/>
          <w:sz w:val="17"/>
        </w:rPr>
        <w:t xml:space="preserve">Zitiervorschlag: § 3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