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FZV 2023 — Gemeinsame Regelungen für die Zulassung und für Änderungen</w:t>
      </w:r>
    </w:p>
    <w:p>
      <w:r>
        <w:rPr>
          <w:color w:val="555555"/>
          <w:sz w:val="18"/>
        </w:rPr>
        <w:t xml:space="preserve">Fahrzeug-Zulassungsverordnung</w:t>
      </w:r>
    </w:p>
    <w:p>
      <w:r>
        <w:rPr>
          <w:color w:val="555555"/>
          <w:sz w:val="18"/>
        </w:rPr>
        <w:t xml:space="preserve">Stand: 01.09.2023 (konsolidierte Textfassung, kein amtliches Inkrafttretensdatum)</w:t>
      </w:r>
    </w:p>
    <w:p>
      <w:r>
        <w:t xml:space="preserve">(1) Die Zulassung oder deren Änderung kann elektronisch beantragt werden, sofern</w:t>
      </w:r>
    </w:p>
    <w:p>
      <w:pPr>
        <w:ind w:left="420"/>
      </w:pPr>
      <w:r>
        <w:t xml:space="preserve">1. der Halter nicht nach § 2 Absatz 1 des Pflichtversicherungsgesetzes von der Versicherungspflicht befreit ist,</w:t>
      </w:r>
    </w:p>
    <w:p>
      <w:pPr>
        <w:ind w:left="420"/>
      </w:pPr>
      <w:r>
        <w:t xml:space="preserve">2. das Fahrzeug nicht nach § 3 Absatz 3 zulassungsfrei ist,</w:t>
      </w:r>
    </w:p>
    <w:p>
      <w:pPr>
        <w:ind w:left="420"/>
      </w:pPr>
      <w:r>
        <w:t xml:space="preserve">3. das Kennzeichen zugeteilt werden soll als</w:t>
      </w:r>
    </w:p>
    <w:p>
      <w:pPr>
        <w:ind w:left="780"/>
      </w:pPr>
      <w:r>
        <w:t xml:space="preserve">a) allgemeines Kennzeichen nach § 9 Absatz 1 Satz 1 bis 4 und Anlage 4 Abschnitt 2,</w:t>
      </w:r>
    </w:p>
    <w:p>
      <w:pPr>
        <w:ind w:left="780"/>
      </w:pPr>
      <w:r>
        <w:t xml:space="preserve">b) Oldtimerkennzeichen nach § 10 Absatz 1 und Anlage 4 Abschnitt 4 , sofern dieses nicht im internetbasierten Verfahren erstmalig zugeteilt wird,</w:t>
      </w:r>
    </w:p>
    <w:p>
      <w:pPr>
        <w:ind w:left="780"/>
      </w:pPr>
      <w:r>
        <w:t xml:space="preserve">c) Saisonkennzeichen nach § 10 Absatz 3 und Anlage 4 Abschnitt 5 oder</w:t>
      </w:r>
    </w:p>
    <w:p>
      <w:pPr>
        <w:ind w:left="780"/>
      </w:pPr>
      <w:r>
        <w:t xml:space="preserve">d) Kennzeichnung für elektrisch betriebene Fahrzeuge nach § 11 Absatz 1 bis 3 und Anlage 4 Abschnitt 5a,</w:t>
      </w:r>
    </w:p>
    <w:p>
      <w:pPr>
        <w:ind w:left="420"/>
      </w:pPr>
      <w:r>
        <w:t xml:space="preserve">4. der Besitz der Zulassungsbescheinigung Teil I durch Erfassung ihres Sicherheitscodes nach § 21 Absatz 1 Nummer 2 und den Besitz der Zulassungsbescheinigung Teil II durch Erfassung ihres Sicherheitscodes nach § 21 Absatz 1 Nummer 3 nachgewiesen werden kann,</w:t>
      </w:r>
    </w:p>
    <w:p>
      <w:pPr>
        <w:ind w:left="420"/>
      </w:pPr>
      <w:r>
        <w:t xml:space="preserve">5. keine Änderungen der Fahrzeugdaten im Sinne des § 15 Absatz 1 im Vergleich zu den bisher erfassten Daten oder bei Erstzulassung im Vergleich zu den Daten der Übereinstimmungsbescheinigung erfolgt sind und</w:t>
      </w:r>
    </w:p>
    <w:p>
      <w:pPr>
        <w:ind w:left="420"/>
      </w:pPr>
      <w:r>
        <w:t xml:space="preserve">6. keine halterbezogene Ausnahmegenehmigung in Bezug auf das Fahrzeug erteilt ist.</w:t>
      </w:r>
    </w:p>
    <w:p>
      <w:r>
        <w:t xml:space="preserve">(2) Bei der Antragstellung nach Absatz 1 sind zusätzlich zu den Angaben nach Absatz 1 die folgenden Daten in das Portal einzugeben:</w:t>
      </w:r>
    </w:p>
    <w:p>
      <w:pPr>
        <w:ind w:left="420"/>
      </w:pPr>
      <w:r>
        <w:t xml:space="preserve">1. das bisherige Kennzeichen, die Fahrzeug-Identifizierungsnummer, der Sicherheitscode der Zulassungsbescheinigung Teil I nach § 21 Absatz 1 Nummer 2 und der Sicherheitscode der Zulassungsbescheinigung Teil II nach § 21 Absatz 1 Nummer 3,</w:t>
      </w:r>
    </w:p>
    <w:p>
      <w:pPr>
        <w:ind w:left="420"/>
      </w:pPr>
      <w:r>
        <w:t xml:space="preserve">2. die Nummer der elektronischen Versicherungsbestätigung,</w:t>
      </w:r>
    </w:p>
    <w:p>
      <w:pPr>
        <w:ind w:left="420"/>
      </w:pPr>
      <w:r>
        <w:t xml:space="preserve">3. die Daten zur Erteilung des SEPA-Lastschrift-Mandats für den Einzug der Kraftfahrzeugsteuer, es sei denn ein Fall im Sinne von § 13 Absatz 1 Satz 2 Nummer 2 Kraftfahrzeugsteuergesetz wird nachgewiesen oder glaubhaft gemacht,</w:t>
      </w:r>
    </w:p>
    <w:p>
      <w:pPr>
        <w:ind w:left="420"/>
      </w:pPr>
      <w:r>
        <w:t xml:space="preserve">4. der Monat und das Jahr des Ablaufs der Frist für die nächste Hauptuntersuchung und, falls zutreffend, die Frist für die nächste Sicherheitsprüfung sowie, wenn der Nachweis nicht nach § 22 Absatz 1 Satz 1 Nummer 1 elektronisch vorliegt, die weiteren Angaben nach § 22 Absatz 4 Satz 1.</w:t>
      </w:r>
    </w:p>
    <w:p>
      <w:r>
        <w:t xml:space="preserve">(3) Die eingegebenen Daten sind durch das Portal nach Maßgabe der Anlage 11 maschinell zu erheben, zu speichern und zu verifizieren. Liegen nach maschineller Prüfung durch das Portal alle Voraussetzungen für die Zulassung oder deren Änderung vor, erfolgt die Entscheidung nach § 19 Absatz 1 Satz 2. In der Entscheidung sind sämtliche Angaben aus der Zulassungsbescheinigung Teil I wiederzugeben. Ist die maschinelle Prüfung der Zulassungsvoraussetzungen nicht vollständig durchführbar oder würde sie zu einer nicht antragsgemäßen Entscheidung führen, ist das Verfahren nach § 19 Absatz 1 Satz 4 durchzuführen. Nach Wirksamkeit der Zulassungsentscheidung sind die Daten nach Anlage 11 Nummer 5 von der Zulassungsbehörde an die für die Ausübung der Verwaltung der Kraftfahrzeugsteuer zuständige Finanzbehörde in einem einheitlichen Datensatz nach § 60 Absatz 1 und 3 zusammen mit den Zulassungsdaten zu übermitteln.</w:t>
      </w:r>
    </w:p>
    <w:p>
      <w:r>
        <w:t xml:space="preserve">(4) Für die internetbasierte Zulassung oder deren Änderung gelten § 3 Absatz 1 Satz 3, § 12 Absatz 3 Satz 1 und § 16 Absatz 2 Satz 1 mit den folgenden Maßgaben:</w:t>
      </w:r>
    </w:p>
    <w:p>
      <w:pPr>
        <w:ind w:left="420"/>
      </w:pPr>
      <w:r>
        <w:t xml:space="preserve">1. Die Vorlage der Kennzeichenschilder nach § 12 Absatz 3 Satz 1 und ihre Abstempelung nach § 3 Absatz 1 Satz 3 werden durch das Aufbringen der Stempelplaketten auf den Plakettenträgern nach § 12 Absatz 3 Satz 6 und deren Übersendung mit Vorgaben über die zulässigen Abmessungen und die Schriftart der Kennzeichenschilder sowie Hinweisen über die Verwendung dieser Unterlagen an den Halter ersetzt.</w:t>
      </w:r>
    </w:p>
    <w:p>
      <w:pPr>
        <w:ind w:left="420"/>
      </w:pPr>
      <w:r>
        <w:t xml:space="preserve">2. Die Zulassung des Fahrzeuges erfolgt unter Zuteilung des Kennzeichens,</w:t>
      </w:r>
    </w:p>
    <w:p>
      <w:pPr>
        <w:ind w:left="780"/>
      </w:pPr>
      <w:r>
        <w:t xml:space="preserve">a) durch Abruf der automatisierten Entscheidung nach § 23 Absatz 1 Satz 1,</w:t>
      </w:r>
    </w:p>
    <w:p>
      <w:pPr>
        <w:ind w:left="780"/>
      </w:pPr>
      <w:r>
        <w:t xml:space="preserve">b) durch Übersendung eines Ausdrucks der automatisierten Entscheidung nach § 23 Absatz 1 Satz 2 oder</w:t>
      </w:r>
    </w:p>
    <w:p>
      <w:pPr>
        <w:ind w:left="780"/>
      </w:pPr>
      <w:r>
        <w:t xml:space="preserve">c) durch Übersendung eines schriftlichen Bescheides nach § 23 Absatz 1 Satz 3.</w:t>
      </w:r>
    </w:p>
    <w:p>
      <w:pPr>
        <w:ind w:left="420"/>
      </w:pPr>
      <w:r>
        <w:t xml:space="preserve">3. Die Zulassungsbescheinigung Teil I und die Zulassungsbescheinigung Teil II sind von der Zulassungsbehörde dem Halter oder einer von ihm benannten Person zu übersenden, wobei sie auch einzeln an unterschiedliche Adressaten versandt werden können.</w:t>
      </w:r>
    </w:p>
    <w:p>
      <w:pPr>
        <w:ind w:left="420"/>
      </w:pPr>
      <w:r>
        <w:t xml:space="preserve">4. Im Fall des § 23 Absatz 1 Satz 1 werden die Zulassungsbescheinigung Teil I, die Stempelplaketten und die Plakettenträger spätestens sechs Kalendertage nach Abruf der Zulassungsentscheidung versendet.</w:t>
      </w:r>
    </w:p>
    <w:p>
      <w:pPr>
        <w:ind w:left="420"/>
      </w:pPr>
      <w:r>
        <w:t xml:space="preserve">5. Abweichend von § 12 Absatz 3 Satz 1 sind Fahrten mit ungestempelten Kennzeichen nach Maßgabe des § 31 für längstens zehn Kalendertage nach Abruf der Zulassungsentscheidung gestattet.</w:t>
      </w:r>
    </w:p>
    <w:p>
      <w:r>
        <w:t xml:space="preserve">(5) Der Halter ist verpflichtet, einen von der Zulassungsbehörde übersandten Plakettenträger unverzüglich an der dafür vorgegebenen Stelle auf einem vorgegebenen Kennzeichenschild fest anzubringen. Ein Plakettenträger darf vom Halter nur auf einem Kennzeichenschild mit dem zugehörigen zugeteilten Kennzeichen angebracht werden. Ein internetbasiert zugelassenes Fahrzeug darf auf öffentlichen Straßen ausgenommen von § 28 oder § 31 von der das Fahrzeug führenden Person nur in Betrieb gesetzt werden, wenn die dafür übersandten Plakettenträger auf den Kennzeichenschildern mit dem zugeteilten Kennzeichen fest angebracht worden sind. Der Halter darf die Inbetriebsetzung eines internetbasiert zugelassenen Fahrzeuges nur anordnen oder zulassen, wenn die Voraussetzungen des Satzes 3 vorliegen. Wird ein internetbasiert zugelassenes Fahrzeug entgegen Satz 3 oder entgegen § 12 Absatz 2 Satz 2 in Betrieb gesetzt, kann die Zulassungsbehörde unabhängig von der Vorwerfbarkeit oder der Verfolgung als Ordnungswidrigkeit die Kennzeichenschilder einziehen.</w:t>
      </w:r>
    </w:p>
    <w:p>
      <w:r>
        <w:rPr>
          <w:color w:val="555555"/>
          <w:sz w:val="17"/>
        </w:rPr>
        <w:t xml:space="preserve">Zitiervorschlag: § 26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