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FZV 2023 — Außerbetriebsetzung</w:t>
      </w:r>
    </w:p>
    <w:p>
      <w:r>
        <w:rPr>
          <w:color w:val="555555"/>
          <w:sz w:val="18"/>
        </w:rPr>
        <w:t xml:space="preserve">Fahrzeug-Zulassungsverordnung</w:t>
      </w:r>
    </w:p>
    <w:p>
      <w:r>
        <w:rPr>
          <w:color w:val="555555"/>
          <w:sz w:val="18"/>
        </w:rPr>
        <w:t xml:space="preserve">Stand: 31.12.2025 (konsolidierte Textfassung, kein amtliches Inkrafttretensdatum)</w:t>
      </w:r>
    </w:p>
    <w:p>
      <w:r>
        <w:t xml:space="preserve">(1) Liegen die Voraussetzungen für die Außerbetriebsetzung nach maschineller Prüfung durch das Portal vor, ist das Fahrzeug mittels einer automatisierten Entscheidung nach § 19 Absatz 1 Satz 2 außer Betrieb zu setzen. Abweichend von § 23 Absatz 1 Satz 2 erfolgt die Bekanntgabe der automatisierten Entscheidung, sofern diese nicht von der antragstellenden Person aus dem Portal abgerufen wird, durch</w:t>
      </w:r>
    </w:p>
    <w:p>
      <w:pPr>
        <w:ind w:left="420"/>
      </w:pPr>
      <w:r>
        <w:t xml:space="preserve">1. Versendung einer De-Mail-Nachricht im Sinne des § 3a Absatz 3 Nummer 3 Buchstabe b des Verwaltungsverfahrensgesetzes, wenn der Halter in seinem elektronischen Antrag ein auf seinen Namen eingerichtetes De-Mail-Konto benennt,</w:t>
      </w:r>
    </w:p>
    <w:p>
      <w:pPr>
        <w:ind w:left="420"/>
      </w:pPr>
      <w:r>
        <w:t xml:space="preserve">2. durch Übersendung des Ausdrucks des elektronischen Dokuments</w:t>
      </w:r>
    </w:p>
    <w:p>
      <w:r>
        <w:t xml:space="preserve">und ist die Außerbetriebsetzung abweichend von § 23 Absatz 2 Halbsatz 2 am Tag der Absendung des Ausdrucks wirksam. Sofern die maschinelle Prüfung der Voraussetzungen für die Außerbetriebsetzung nicht erfolgen kann, hat die Entscheidung nach § 19 Absatz 1 Satz 4 zu erfolgen und ist im Fall einer antragsgemäßen Entscheidung die Außerbetriebsetzung abweichend von § 23 Absatz 2 am Tag der Absendung des schriftlichen Bescheides wirksam.</w:t>
      </w:r>
    </w:p>
    <w:p>
      <w:r>
        <w:t xml:space="preserve">(2) Der Vermerk über die Außerbetriebsetzung in der Zulassungsbescheinigung Teil I und die Aushändigung der entstempelten Kennzeichenschilder nach § 16 Absatz 1 Satz 4 werden durch die Erhebung, Speicherung und Verwendung der freigelegten Sicherheitscodes nach § 21 Absatz 1 Nummer 1 und 2 zur Prüfung des Antrags auf Außerbetriebsetzung ersetzt.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25 FZV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https://recht.nulegal.eu/gesetze/FZV%202023/25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