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24 FZV 2023 — Antrag auf Außerbetriebsetzung</w:t>
      </w:r>
    </w:p>
    <w:p>
      <w:r>
        <w:rPr>
          <w:color w:val="555555"/>
          <w:sz w:val="18"/>
        </w:rPr>
        <w:t xml:space="preserve">Fahrzeug-Zulassungsverordnung</w:t>
      </w:r>
    </w:p>
    <w:p>
      <w:r>
        <w:rPr>
          <w:color w:val="555555"/>
          <w:sz w:val="18"/>
        </w:rPr>
        <w:t xml:space="preserve">Stand: 01.09.2023 (konsolidierte Textfassung, kein amtliches Inkrafttretensdatum)</w:t>
      </w:r>
    </w:p>
    <w:p>
      <w:r>
        <w:t xml:space="preserve">(1) Die Außerbetriebsetzung eines zugelassenen Fahrzeuges oder eines zulassungsfreien Fahrzeuges, dem ein Kennzeichen zugeteilt ist, kann einschließlich der Kennzeichenreservierung nach § 16 Absatz 1, auch in Verbindung mit § 17 Absatz 1 bis 5, internetbasiert beantragt werden (internetbasierte Außerbetriebsetzung), wenn die abgestempelten Kennzeichenschilder die Anforderungen des § 12 Absatz 3 Satz 2 bis 5 und die Zulassungsbescheinigung Teil I die Anforderungen des § 13 Absatz 1 erfüllen.</w:t>
      </w:r>
    </w:p>
    <w:p>
      <w:r>
        <w:t xml:space="preserve">(2) Die Vorlage der Zulassungsbescheinigung Teil I und der Kennzeichenschilder nach § 16 Absatz 1 Satz 1 wird ersetzt durch die Erfassung und Verifizierung</w:t>
      </w:r>
    </w:p>
    <w:p>
      <w:pPr>
        <w:ind w:left="420"/>
      </w:pPr>
      <w:r>
        <w:t xml:space="preserve">1. des Kennzeichens,</w:t>
      </w:r>
    </w:p>
    <w:p>
      <w:pPr>
        <w:ind w:left="420"/>
      </w:pPr>
      <w:r>
        <w:t xml:space="preserve">2. der Sicherheitscodes der Stempelplaketten nach § 21 Absatz 1 Nummer 1 und</w:t>
      </w:r>
    </w:p>
    <w:p>
      <w:pPr>
        <w:ind w:left="420"/>
      </w:pPr>
      <w:r>
        <w:t xml:space="preserve">3. des Sicherheitscodes der Zulassungsbescheinigung Teil I nach § 21 Absatz 1 Nummer 2.</w:t>
      </w:r>
    </w:p>
    <w:p>
      <w:r>
        <w:t xml:space="preserve">Bei Wechselkennzeichen nach § 9 Absatz 2 gilt Satz 1 Nummer 2 mit der Maßgabe, dass zusätzlich der Sicherheitscode der Stempelplakette des gemeinsamen Kennzeichenteils erfasst werden muss, wenn kein weiteres Fahrzeug zugelassen bleibt.</w:t>
      </w:r>
    </w:p>
    <w:p>
      <w:r>
        <w:t xml:space="preserve">(3) Die Vorlage eines Verwertungsnachweises nach § 17 Absatz 1 oder 2 wird, wenn ein solcher ausgestellt wurde, ersetzt durch die Erfassung</w:t>
      </w:r>
    </w:p>
    <w:p>
      <w:pPr>
        <w:ind w:left="420"/>
      </w:pPr>
      <w:r>
        <w:t xml:space="preserve">1. des Datums der Ausstellung des Verwertungsnachweises und</w:t>
      </w:r>
    </w:p>
    <w:p>
      <w:pPr>
        <w:ind w:left="420"/>
      </w:pPr>
      <w:r>
        <w:t xml:space="preserve">2. der Betriebsnummer des inländischen Demontagebetriebes oder im Fall des § 17 Absatz 2 des Staates, in dem die Verwertungsanlage ihren Sitz hat.</w:t>
      </w:r>
    </w:p>
    <w:p>
      <w:r>
        <w:t xml:space="preserve">Die Vorlage der Zulassungsbescheinigung Teil I und Teil II zwecks Einziehung nach § 17 Absatz 1 Satz 4 wird ersetzt durch</w:t>
      </w:r>
    </w:p>
    <w:p>
      <w:pPr>
        <w:ind w:left="420"/>
      </w:pPr>
      <w:r>
        <w:t xml:space="preserve">1. die Erfassung und Verifizierung des Sicherheitscodes</w:t>
      </w:r>
    </w:p>
    <w:p>
      <w:pPr>
        <w:ind w:left="780"/>
      </w:pPr>
      <w:r>
        <w:t xml:space="preserve">a) der Zulassungsbescheinigung Teil I nach § 21 Absatz 1 Nummer 2 und</w:t>
      </w:r>
    </w:p>
    <w:p>
      <w:pPr>
        <w:ind w:left="780"/>
      </w:pPr>
      <w:r>
        <w:t xml:space="preserve">b) der Zulassungsbescheinigung Teil II nach § 21 Absatz 1 Nummer 3 sowie</w:t>
      </w:r>
    </w:p>
    <w:p>
      <w:pPr>
        <w:ind w:left="420"/>
      </w:pPr>
      <w:r>
        <w:t xml:space="preserve">2. die anschließende unverzügliche Übersendung der Zulassungsbescheinigung Teil I und Teil II an die Zulassungsbehörde.</w:t>
      </w:r>
    </w:p>
    <w:p>
      <w:r>
        <w:t xml:space="preserve">(4) Für die Beantragung der Außerbetriebsetzung ist auf die Identifizierung des Antragstellers zu verzichten, sofern die Sicherheitscodes der Stempelplaketten nach Absatz 2 Satz 1 Nummer 2, auch in Verbindung mit Absatz 2 Satz 2, und der Sicherheitscode der Zulassungsbescheinigung Teil I nach Absatz 2 Satz 1 Nummer 3 erfasst werden. Die Halterdaten sind vom Portal aus dem Zentralen Fahrzeugregister zu erheben, zu speichern und für die Antragsprüfung zu verwenden.</w:t>
      </w:r>
    </w:p>
    <w:p>
      <w:r>
        <w:rPr>
          <w:color w:val="555555"/>
          <w:sz w:val="17"/>
        </w:rPr>
        <w:t xml:space="preserve">Zitiervorschlag: § 24 FZV 2023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https://recht.nulegal.eu/gesetze/FZV%202023/24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