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FZV 2023 — Portal</w:t>
      </w:r>
    </w:p>
    <w:p>
      <w:r>
        <w:rPr>
          <w:color w:val="555555"/>
          <w:sz w:val="18"/>
        </w:rPr>
        <w:t xml:space="preserve">Fahrzeug-Zulassungsverordnung</w:t>
      </w:r>
    </w:p>
    <w:p>
      <w:r>
        <w:rPr>
          <w:color w:val="555555"/>
          <w:sz w:val="18"/>
        </w:rPr>
        <w:t xml:space="preserve">Stand: 31.12.2025 (konsolidierte Textfassung, kein amtliches Inkrafttretensdatum)</w:t>
      </w:r>
    </w:p>
    <w:p>
      <w:r>
        <w:t xml:space="preserve">(1) Sofern ein nach dieser Verordnung erforderlicher Antrag elektronisch gestellt werden soll, hat dies über das von der Zulassungsbehörde hierfür eingerichtete informationstechnische System (Portal) zu erfolgen. Nach der Antragstellung werden die in das Portal eingegebenen und von diesem Portal erstellten Daten zusammen mit der vollständig durch eine automatische Einrichtung des Portals erlassenen Entscheidung (automatisierte Entscheidung) an die internen informationstechnischen Verfahren der Zulassungsbehörde übermittelt. Die Übermittlung erfolgt nach Abruf der automatisierten Entscheidung durch die antragstellende Person oder spätestens nach dem Ende deren Bereitstellungsdauer. Sofern die maschinelle Prüfung scheitert, wird die Entscheidung der Zulassungsbehörde übertragen, ohne dass diese an das Ergebnis der maschinellen Vorprüfung im Portal gebunden ist. Die Übermittlung der Daten und der automatisierten Entscheidung nach Satz 2 erfolgt elektronisch über ein vom Kraftfahrt-Bundesamt eingerichtetes Verfahren. Die im Portal zu dem jeweiligen Dialog gespeicherten Daten sind entweder unverzüglich nach ihrer Übermittlung nach Satz 2 oder, bei einem Abbruch des Vorgangs, spätestens 30 Minuten nach dem Abbruch zu löschen. Können die im Portal zu dem jeweiligen Dialog gespeicherten Daten aus technischen Gründen vorübergehend nicht nach Satz 2 übermittelt werden, sind sie bis zu ihrer Übermittlung nach Satz 2 zu speichern und danach unverzüglich zu löschen. Bei der Übermittlung der Daten und der automatisierten Entscheidung nach Satz 2 ist anzugeben, dass es sich um die Daten und die Entscheidung eines internetbasierten Antrags handelt.</w:t>
      </w:r>
    </w:p>
    <w:p>
      <w:r>
        <w:t xml:space="preserve">(2) Nach Maßgabe des § 18 Absatz 3 erfolgen</w:t>
      </w:r>
    </w:p>
    <w:p>
      <w:pPr>
        <w:ind w:left="420"/>
      </w:pPr>
      <w:r>
        <w:t xml:space="preserve">1. die Datenübermittlung nach Absatz 1 Satz 2 sowie</w:t>
      </w:r>
    </w:p>
    <w:p>
      <w:pPr>
        <w:ind w:left="420"/>
      </w:pPr>
      <w:r>
        <w:t xml:space="preserve">2. die Datenübermittlung</w:t>
      </w:r>
    </w:p>
    <w:p>
      <w:pPr>
        <w:ind w:left="780"/>
      </w:pPr>
      <w:r>
        <w:t xml:space="preserve">a) zur Verifizierung der elektronischen Versicherungsbestätigung,</w:t>
      </w:r>
    </w:p>
    <w:p>
      <w:pPr>
        <w:ind w:left="780"/>
      </w:pPr>
      <w:r>
        <w:t xml:space="preserve">b) für die Kraftfahrzeugsteuerrückstandsprüfung und</w:t>
      </w:r>
    </w:p>
    <w:p>
      <w:pPr>
        <w:ind w:left="780"/>
      </w:pPr>
      <w:r>
        <w:t xml:space="preserve">c) zur Verifizierung der Bankverbindung.</w:t>
      </w:r>
    </w:p>
    <w:p>
      <w:r>
        <w:t xml:space="preserve">Verfahren, die mit der beantragten Amtshandlung in Zusammenhang stehen, ohne hierfür Voraussetzung zu sein, sind nicht an die Standards für die Datenübermittlung nach § 18 Absatz 3 Satz 1 Nummer 1 gebunden, sie müssen jedoch den Standards für die Mindestsicherheitsanforderungen an die beteiligten informationstechnischen Systeme nach § 18 Absatz 3 Satz 1 Nummer 2 und 3 entsprechen. Werden im Fall des Satzes 2 die Standards für die Datenübermittlung nach § 18 Absatz 3 Satz 1 Nummer 1 nicht beachtet, ist durch die Zulassungsbehörden sicherzustellen, dass diese Verfahren im Zusammenhang mit der elektronischen Antragstellung nach Absatz 1 Satz 1 verwendet werden können.</w:t>
      </w:r>
    </w:p>
    <w:p>
      <w:r>
        <w:rPr>
          <w:color w:val="555555"/>
          <w:sz w:val="17"/>
        </w:rPr>
        <w:t xml:space="preserve">Zitiervorschlag: § 19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