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FZV 2023 — Außerbetriebsetzung, Wiederzulassung</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Soll ein zugelassenes Fahrzeug oder ein zulassungsfreies Fahrzeug, dem ein Kennzeichen zugeteilt ist, außer Betrieb gesetzt werden, hat der Halter dies bei der zuständigen Zulassungsbehörde nach § 75 Absatz 2</w:t>
      </w:r>
    </w:p>
    <w:p>
      <w:pPr>
        <w:ind w:left="420"/>
      </w:pPr>
      <w:r>
        <w:t xml:space="preserve">1. bei einem zugelassenen Fahrzeug unter Vorlage der Zulassungsbescheinigung Teil I und, soweit vorhanden, das Anhängerverzeichnis,</w:t>
      </w:r>
    </w:p>
    <w:p>
      <w:pPr>
        <w:ind w:left="420"/>
      </w:pPr>
      <w:r>
        <w:t xml:space="preserve">2. bei einem zulassungsfreien Fahrzeug unter Vorlage des Nachweises über die Zuteilung des Kennzeichens oder der Zulassungsbescheinigung Teil I,</w:t>
      </w:r>
    </w:p>
    <w:p>
      <w:r>
        <w:t xml:space="preserve">zu beantragen und die abgestempelten Kennzeichenschilder zur Entstempelung vorzulegen. Legt ein Dritter alle nach Satz 1 erforderlichen Unterlagen vor, gilt er als von dem Halter bevollmächtigt, die Außerbetriebsetzung des Fahrzeuges zu beantragen. Bei Wechselkennzeichen ist der fahrzeugbezogene Teil, der die Stempelplakette trägt, und, wenn mit diesem Kennzeichen kein weiteres Fahrzeug zugelassen bleibt, auch der gemeinsame Kennzeichenteil zur Entstempelung vorzulegen. Die Zulassungsbehörde vermerkt die Außerbetriebsetzung des Fahrzeuges unter Angabe des Datums auf der Zulassungsbescheinigung Teil I und, soweit vorhanden, auf den Anhängerverzeichnissen und händigt die vorgelegten Unterlagen sowie die entstempelten Kennzeichenschilder wieder aus. Der Halter kann sich das Kennzeichen zum Zweck der Wiederzulassung des nach den Sätzen 1 bis 4 außer Betrieb gesetzten Fahrzeuges für eine Dauer von längstens zwölf Monaten, gerechnet ab dem Tag der Außerbetriebsetzung, reservieren lassen und erhält dafür eine schriftliche oder elektronische Bestätigung. Satz 5 gilt nicht, wenn das Kennzeichen nach § 15 Absatz 4 Satz 1 Nummer 2 oder Absatz 5 Satz 3 Nummer 4 in einem anderen Zulassungsbezirk weitergeführt wurde und dort außer Betrieb gesetzt wird.</w:t>
      </w:r>
    </w:p>
    <w:p>
      <w:r>
        <w:t xml:space="preserve">(2) Soll ein nach Absatz 1 Satz 1 bis 4 außer Betrieb gesetztes Fahrzeug auf denselben Halter oder einen neuen Halter wieder zum Verkehr zugelassen (Wiederzulassung) oder ein zulassungsfreies kennzeichenpflichtiges Fahrzeug wieder in Betrieb gesetzt werden, so ist die Zulassungsbescheinigung Teil I und Teil II vorzulegen. § 6, auch in Verbindung mit § 4 Absatz 2 Satz 2, gilt entsprechend. Abweichend von Satz 1 ist die Vorlage der Zulassungsbescheinigung Teil II bei einer Wiederzulassung auf denselben Halter nicht erforderlich, sofern das bisherige Kennzeichen beibehalten wird. Das Fahrzeug muss vor der Wiederzulassung oder der erneuten Inbetriebsetzung einer Hauptuntersuchung nach § 29 der Straßenverkehrs-Zulassungs-Ordnung unterzogen werden, wenn bei Anwendung der Anlage VIII Nummer 2 der Straßenverkehrs-Zulassungs-Ordnung zwischenzeitlich eine Untersuchung hätte stattfinden müssen. Satz 4 gilt entsprechend für eine Sicherheitsprüfung nach § 29 der Straßenverkehrs-Zulassungs-Ordnung. Sind die Fahrzeugdaten und die Halterdaten im Zentralen Fahrzeugregister bereits gelöscht worden und kann die Übereinstimmungsbescheinigung, die Datenbestätigung oder die Bescheinigung über die Fahrzeug- Einzelgenehmigung des unveränderten Fahrzeuges nicht anderweitig erbracht werden, ist § 21 der Straßenverkehrs-Zulassungs-Ordnung entsprechend anzuwenden.</w:t>
      </w:r>
    </w:p>
    <w:p>
      <w:r>
        <w:rPr>
          <w:color w:val="555555"/>
          <w:sz w:val="17"/>
        </w:rPr>
        <w:t xml:space="preserve">Zitiervorschlag: § 16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