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FZV 2023 — Zulassungsbescheinigung Teil II</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Mit dem Antrag auf Ausfertigung einer Zulassungsbescheinigung Teil II ist der zuständigen Zulassungsbehörde die Verfügungsberechtigung über das Fahrzeug nachzuweisen. In begründeten Einzelfällen kann die zuständige Zulassungsbehörde beim Kraftfahrt-Bundesamt anfragen, ob das Fahrzeug im Zentralen Fahrzeugregister eingetragen ist, ein Suchvermerk vorhanden ist oder ob bereits eine Zulassungsbescheinigung Teil II ausgegeben worden ist. Die Sätze 1 und 2 sind auch anzuwenden, wenn die Ausfüllung eines Vordrucks der Zulassungsbescheinigung Teil II beantragt wird, ohne dass das Fahrzeug zugelassen werden soll. Für ein Fahrzeug, das im Ausland zugelassen ist oder war, ist das Ausfüllen eines Vordrucks einer Zulassungsbescheinigung Teil II nur im Zusammenhang mit der Zulassung des Fahrzeuges zulässig.</w:t>
      </w:r>
    </w:p>
    <w:p>
      <w:r>
        <w:t xml:space="preserve">(2) Die Zulassungsbescheinigung Teil II wird nach den Vorgaben der Anlage 8 ausgefertigt. Die Zulassungsbescheinigung Teil II muss einen Sicherheitscode und folgende Markierungen aufweisen:</w:t>
      </w:r>
    </w:p>
    <w:p>
      <w:pPr>
        <w:ind w:left="420"/>
      </w:pPr>
      <w:r>
        <w:t xml:space="preserve">1. eine sichtbare Markierung neben der sich der Hinweis „Nur zur Nutzung des Sicherheitscodes im internetbasierten Zulassungsverfahren freilegen. Dokument nur unbeschädigt gültig.“ befindet und</w:t>
      </w:r>
    </w:p>
    <w:p>
      <w:pPr>
        <w:ind w:left="420"/>
      </w:pPr>
      <w:r>
        <w:t xml:space="preserve">2. eine unterhalb der sichtbaren Markierung nach Nummer 1 liegende Markierung mit der Aufschrift „Dokument nicht mehr gültig“.</w:t>
      </w:r>
    </w:p>
    <w:p>
      <w:r>
        <w:t xml:space="preserve">Mit der sichtbaren Markierung nach Satz 2 Nummer 1 werden die darunterliegende Markierung nach Satz 2 Nummer 2 und der Sicherheitscode der Zulassungsbescheinigung Teil II verdeckt.</w:t>
      </w:r>
    </w:p>
    <w:p>
      <w:r>
        <w:t xml:space="preserve">(3) Das Ausfüllen einer Zulassungsbescheinigung Teil II oder deren erstmalige Ausfertigung durch die Zulassungsbehörde ist nur zulässig bei Vorlage</w:t>
      </w:r>
    </w:p>
    <w:p>
      <w:pPr>
        <w:ind w:left="420"/>
      </w:pPr>
      <w:r>
        <w:t xml:space="preserve">1. der Übereinstimmungsbescheinigung,</w:t>
      </w:r>
    </w:p>
    <w:p>
      <w:pPr>
        <w:ind w:left="420"/>
      </w:pPr>
      <w:r>
        <w:t xml:space="preserve">2. der Datenbestätigung oder</w:t>
      </w:r>
    </w:p>
    <w:p>
      <w:pPr>
        <w:ind w:left="420"/>
      </w:pPr>
      <w:r>
        <w:t xml:space="preserve">3. der Bescheinigung über die Fahrzeug-Einzelgenehmigung.</w:t>
      </w:r>
    </w:p>
    <w:p>
      <w:r>
        <w:t xml:space="preserve">Der Vorlage der Übereinstimmungsbescheinigung steht es gleich, wenn die Daten der Übereinstimmungsbescheinigung von der zuständigen Zulassungsbehörde unter Angabe der Fahrzeug-Identifizierungsnummer aus einer in § 6 Absatz 4 Satz 2 genannten Datenbank abgerufen worden sind. Wurden die Angaben über die Beschaffenheit des Fahrzeuges und über dessen Übereinstimmung mit dem genehmigten Typ noch nicht durch den Hersteller in die Zulassungsbescheinigung Teil II eingetragen, hat die zuständige Zulassungsbehörde diese Eintragungen vorzunehmen. Für das maschinelle Ausfüllen gilt § 13 Absatz 3 entsprechend. Die zuständige Zulassungsbehörde hat die Ausfertigung der Zulassungsbescheinigung Teil II unter Angabe der Nummer der Zulassungsbescheinigung Teil II auf der Übereinstimmungsbescheinigung zu vermerken, sofern diese vorgelegt wurde, andernfalls auf der Datenbestätigung.</w:t>
      </w:r>
    </w:p>
    <w:p>
      <w:r>
        <w:t xml:space="preserve">(4) Die Vordrucke der Zulassungsbescheinigung Teil II sind auf Antrag vom Kraftfahrt-Bundesamt auszugeben</w:t>
      </w:r>
    </w:p>
    <w:p>
      <w:pPr>
        <w:ind w:left="420"/>
      </w:pPr>
      <w:r>
        <w:t xml:space="preserve">1. an die Zulassungsbehörden oder</w:t>
      </w:r>
    </w:p>
    <w:p>
      <w:pPr>
        <w:ind w:left="420"/>
      </w:pPr>
      <w:r>
        <w:t xml:space="preserve">2. zum Zweck der Ausfüllung an</w:t>
      </w:r>
    </w:p>
    <w:p>
      <w:pPr>
        <w:ind w:left="780"/>
      </w:pPr>
      <w:r>
        <w:t xml:space="preserve">a) die Inhaber einer EU-Typgenehmigung für Fahrzeuge,</w:t>
      </w:r>
    </w:p>
    <w:p>
      <w:pPr>
        <w:ind w:left="780"/>
      </w:pPr>
      <w:r>
        <w:t xml:space="preserve">b) die Inhaber einer nationalen Typgenehmigung für Fahrzeuge oder</w:t>
      </w:r>
    </w:p>
    <w:p>
      <w:pPr>
        <w:ind w:left="780"/>
      </w:pPr>
      <w:r>
        <w:t xml:space="preserve">c) die von den Personen nach den Buchstaben a oder b bevollmächtigten Vertreter.</w:t>
      </w:r>
    </w:p>
    <w:p>
      <w:r>
        <w:t xml:space="preserve">(5) Der Verlust eines Vordrucks der Zulassungsbescheinigung Teil II ist vom jeweiligen Empfänger dem Kraftfahrt-Bundesamt unverzüglich nach Kenntnis des Verlustes anzuzeigen. Der Verlust einer ausgefertigten Zulassungsbescheinigung Teil II ist der zuständigen Zulassungsbehörde unverzüglich nach Kenntnis des Verlustes anzuzeigen, die das Kraftfahrt-Bundesamt hiervon unverzüglich zu unterrichten hat. Das Kraftfahrt-Bundesamt hat auf Antrag die verlorene Zulassungsbescheinigung Teil II im Verkehrsblatt mit einer Frist zur Vorlage bei der zuständigen Zulassungsbehörde aufzubieten. Eine neue Zulassungsbescheinigung Teil II darf erst nach Ablauf dieser Frist ausgefertigt werden. Wird die verlorene Zulassungsbescheinigung Teil II wiedergefunden, so ist diese vom Halter oder Eigentümer unverzüglich bei der zuständigen Zulassungsbehörde abzugeben. Absatz 7 Satz 2 ist entsprechend anzuwenden.</w:t>
      </w:r>
    </w:p>
    <w:p>
      <w:r>
        <w:t xml:space="preserve">(6) Sind im Vordruck einer Zulassungsbescheinigung Teil II die für die Eintragungen der Zulassung bestimmten Felder ausgefüllt oder ist die Zulassungsbescheinigung Teil II beschädigt, so ist eine neue Zulassungsbescheinigung Teil II auszustellen. Eine neue Zulassungsbescheinigung Teil II ist ferner auf Antrag auszustellen, wenn sich die Angaben des Halters geändert haben und diese Angaben ganz oder teilweise einem gesetzlichen Offenbarungsverbot unterliegen. Die Tatsachen, die das Offenbarungsverbot begründen, sind auf Verlangen nachzuweisen. Die zuständige Zulassungsbehörde hat die alte Zulassungsbescheinigung Teil II zu entwerten und sie unter Eintragung der Nummer der neuen Zulassungsbescheinigung Teil II dem Antragsteller zurückzugeben.</w:t>
      </w:r>
    </w:p>
    <w:p>
      <w:r>
        <w:t xml:space="preserve">(7) Die Zulassungsbehörde entscheidet keine privatrechtlichen Sachverhalte. Zur Vorlage der Zulassungsbescheinigung Teil II ist neben dem Halter und dem Eigentümer bei Aufforderung durch die zuständige Zulassungsbehörde jeder verpflichtet, in dessen Besitz sich die Bescheinigung befindet. Die zuständige Zulassungsbehörde hat der Person, die ihr die Zulassungsbescheinigung Teil II vorgelegt hat, oder der von ihr bestimmten Stelle oder Person die Zulassungsbescheinigung Teil II wieder auszuhändigen.</w:t>
      </w:r>
    </w:p>
    <w:p>
      <w:r>
        <w:t xml:space="preserve">(8) Das Fahrzeug ist vor Erstellung der Zulassungsbescheinigung Teil II nach Absatz 1 und vor der Zulassung von der Zulassungsbehörde zu identifizieren.</w:t>
      </w:r>
    </w:p>
    <w:p>
      <w:r>
        <w:t xml:space="preserve">5 Absatz 2 in Verbindung mit Anlage 8 notifiziert gemäß Richtlinie (EU) 2015/1535 des Europäischen Parlaments und des Rates vom 9. September 2015 über ein Informationsverfahren auf dem Gebiet der technischen Vorschriften und der Vorschriften für die Dienste der Informationsgesellschaft (ABl. L 241 vom 17.9.2015, S. 1).</w:t>
      </w:r>
    </w:p>
    <w:p>
      <w:r>
        <w:rPr>
          <w:color w:val="555555"/>
          <w:sz w:val="17"/>
        </w:rPr>
        <w:t xml:space="preserve">Zitiervorschlag: § 14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