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FZV 2023 — Anwendungsbereich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Diese Verordnung ist anzuwenden auf</w:t>
      </w:r>
    </w:p>
    <w:p>
      <w:pPr>
        <w:ind w:left="420"/>
      </w:pPr>
      <w:r>
        <w:t xml:space="preserve">1. die Zulassung von Kraftfahrzeugen mit einer bauartbedingten Höchstgeschwindigkeit von mehr als 6 Kilometern pro Stunde und</w:t>
      </w:r>
    </w:p>
    <w:p>
      <w:pPr>
        <w:ind w:left="420"/>
      </w:pPr>
      <w:r>
        <w:t xml:space="preserve">2. die Zulassung ihrer Anhänger.</w:t>
      </w:r>
    </w:p>
    <w:p>
      <w:r>
        <w:rPr>
          <w:color w:val="555555"/>
          <w:sz w:val="17"/>
        </w:rPr>
        <w:t xml:space="preserve">Zitiervorschlag: § 1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