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FZV 2011 — Beschränkung und Untersagung des Betriebs von Fahrzeugen</w:t>
      </w:r>
    </w:p>
    <w:p>
      <w:r>
        <w:rPr>
          <w:color w:val="555555"/>
          <w:sz w:val="18"/>
        </w:rPr>
        <w:t xml:space="preserve">Fahrzeug-Zulassungsverordnung</w:t>
      </w:r>
    </w:p>
    <w:p>
      <w:r>
        <w:rPr>
          <w:color w:val="555555"/>
          <w:sz w:val="18"/>
        </w:rPr>
        <w:t xml:space="preserve">Historische Fassung: Stand 15.06.2019 bis 01.09.2023. Dies ist nicht die aktuelle Fassung.</w:t>
      </w:r>
    </w:p>
    <w:p>
      <w:r>
        <w:t xml:space="preserve">(1) Erweist sich ein Fahrzeug als nicht vorschriftsmäßig nach dieser Verordnung, der Straßenverkehrs-Zulassungs-Ordnung oder der Elektrokleinstfahrzeuge-Verordnung, kann die die nach Landesrecht zuständige Behörde (Zulassungsbehörde) dem Eigentümer oder Halter eine angemessene Frist zur Beseitigung der Mängel setzen oder den Betrieb des Fahrzeugs auf öffentlichen Straßen beschränken oder untersagen.</w:t>
      </w:r>
    </w:p>
    <w:p>
      <w:r>
        <w:t xml:space="preserve">(2) Ist der Betrieb eines Fahrzeugs, für das ein Kennzeichen zugeteilt ist, untersagt, hat der Eigentümer oder Halter das Fahrzeug unverzüglich nach Maßgabe des § 14 außer Betrieb setzen zu lassen oder der Zulassungsbehörde nachzuweisen, dass die Gründe für die Beschränkung oder Untersagung des Betriebs nicht oder nicht mehr vorliegen. Der Halter darf die Inbetriebnahme eines Fahrzeugs nicht anordnen oder zulassen, wenn der Betrieb des Fahrzeugs nach Absatz 1 untersagt ist oder die Beschränkung nicht eingehalten werden kann.</w:t>
      </w:r>
    </w:p>
    <w:p>
      <w:r>
        <w:t xml:space="preserve">(3) Besteht Anlass zu der Annahme, dass ein Fahrzeug nicht vorschriftsmäßig nach dieser Verordnung, der Straßenverkehrs-Zulassungs-Ordnung oder der Elektrokleinstfahrzeuge-Verordnung ist, so kann die Zulassungsbehörde anordnen, dass</w:t>
      </w:r>
    </w:p>
    <w:p>
      <w:pPr>
        <w:ind w:left="420"/>
      </w:pPr>
      <w:r>
        <w:t xml:space="preserve">1. ein von ihr bestimmter Nachweis über die Vorschriftsmäßigkeit oder ein Gutachten eines amtlich anerkannten Sachverständigen, Prüfers für den Kraftfahrzeugverkehr oder Prüfingenieurs einer amtlich anerkannten Überwachungsorganisation nach Anlage VIIIb der Straßenverkehrs-Zulassungs-Ordnung vorgelegt oder</w:t>
      </w:r>
    </w:p>
    <w:p>
      <w:pPr>
        <w:ind w:left="420"/>
      </w:pPr>
      <w:r>
        <w:t xml:space="preserve">2. das Fahrzeug vorgeführt</w:t>
      </w:r>
    </w:p>
    <w:p>
      <w:r>
        <w:t xml:space="preserve">wird. Wenn nötig, kann die Zulassungsbehörde mehrere solcher Anordnungen treffen.</w:t>
      </w:r>
    </w:p>
    <w:p>
      <w:r>
        <w:rPr>
          <w:color w:val="555555"/>
          <w:sz w:val="17"/>
        </w:rPr>
        <w:t xml:space="preserve">Zitiervorschlag: § 5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