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FZV 2011 — Zuständigkeiten</w:t>
      </w:r>
    </w:p>
    <w:p>
      <w:r>
        <w:rPr>
          <w:color w:val="555555"/>
          <w:sz w:val="18"/>
        </w:rPr>
        <w:t xml:space="preserve">Fahrzeug-Zulassungsverordnung</w:t>
      </w:r>
    </w:p>
    <w:p>
      <w:r>
        <w:rPr>
          <w:color w:val="555555"/>
          <w:sz w:val="18"/>
        </w:rPr>
        <w:t xml:space="preserve">Historische Fassung: Stand 20.05.2022 bis 01.09.2023. Dies ist nicht die aktuelle Fassung.</w:t>
      </w:r>
    </w:p>
    <w:p>
      <w:r>
        <w:t xml:space="preserve">(1) Diese Verordnung wird von den nach Landesrecht zuständigen unteren Verwaltungsbehörden ausgeführt. Die zuständigen obersten Landesbehörden oder die von ihnen bestimmten oder nach Landesrecht zuständigen Stellen können den Verwaltungsbehörden Weisungen auch für den Einzelfall erteilen oder die erforderlichen Maßnahmen selbst treffen.</w:t>
      </w:r>
    </w:p>
    <w:p>
      <w:r>
        <w:t xml:space="preserve">(2) Örtlich zuständig ist, soweit nichts anderes vorgeschrieben ist, die Behörde des Wohnorts, bei mehreren Wohnungen des Ortes der Hauptwohnung im Sinne des Bundesmeldegesetz, mangels eines solchen des Aufenthaltsortes des Antragstellers oder Betroffenen, bei juristischen Personen, Gewerbetreibenden und Selbständigen mit festem Betriebssitz oder Behörden die Behörde des Sitzes oder des Ortes der beteiligten Niederlassung oder Dienststelle. Besteht im Inland kein Wohnsitz, kein Sitz, keine Niederlassung oder keine Dienststelle, so ist die Behörde des Wohnorts oder des Aufenthaltsorts eines Empfangsbevollmächtigten zuständig. Örtlich zuständige Behörde im Sinne des § 25 ist die Behörde, die das Kennzeichen zugeteilt hat, es sei denn, dass im Falle des § 13 Absatz 3 Satz 1 Nummer 2 die für den neuen Wohnsitz oder neuen Sitz zuständige Behörde die Zulassungsbescheinigung Teil I bereits nach § 13 Absatz 3 Satz 4 berichtigt hat. Anträge können mit Zustimmung der örtlich zuständigen Verwaltungsbehörde von einer gleichgeordneten auswärtigen Behörde, mit Zustimmung der zuständigen obersten Landesbehörden oder der von ihnen bestimmten oder nach Landesrecht zuständigen Stellen auch in einem anderen Land, behandelt und erledigt werden. Verlangt die Verkehrssicherheit ein sofortiges Eingreifen, so kann an Stelle der örtlich zuständigen Behörde jede ihr gleichgeordnete Behörde mit derselben Wirkung Maßnahmen auf Grund dieser Verordnung vorläufig treffen.</w:t>
      </w:r>
    </w:p>
    <w:p>
      <w:r>
        <w:t xml:space="preserve">(3) Die Zuständigkeiten der Verwaltungsbehörden auf Grund dieser Verordnung werden für die Dienstbereiche der Bundeswehr, der Bundespolizei, der Bundesanstalt Technisches Hilfswerk und der Polizeien der Länder durch deren Dienststellen nach Bestimmung der Fachminister wahrgenommen. Die Zuständigkeiten der Verwaltungsbehörden in Bezug auf die Kraftfahrzeuge und Anhänger der auf Grund des Nordatlantikvertrags errichteten internationalen militärischen Hauptquartiere, soweit die Fahrzeuge ihren regelmäßigen Standort im Geltungsbereich dieser Verordnung haben, werden durch die Dienststellen der Bundeswehr nach Bestimmung des Bundesministers der Verteidigung wahrgenommen. Für den Dienstbereich der Polizeien der Länder kann die Zulassung von Kraftfahrzeugen und ihrer Anhänger nach Bestimmung der Fachminister durch die nach Absatz 1 zuständigen Behörden vorgenommen werden.</w:t>
      </w:r>
    </w:p>
    <w:p>
      <w:r>
        <w:rPr>
          <w:color w:val="555555"/>
          <w:sz w:val="17"/>
        </w:rPr>
        <w:t xml:space="preserve">Zitiervorschlag: § 46 FZV 2011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https://recht.nulegal.eu/gesetze/FZV%202011/46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