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45a FZV 2011 — Zentrale Datenbank der Übereinstimmungsbescheinigungen</w:t>
      </w:r>
    </w:p>
    <w:p>
      <w:r>
        <w:rPr>
          <w:color w:val="555555"/>
          <w:sz w:val="18"/>
        </w:rPr>
        <w:t xml:space="preserve">Fahrzeug-Zulassungsverordnung</w:t>
      </w:r>
    </w:p>
    <w:p>
      <w:r>
        <w:rPr>
          <w:color w:val="555555"/>
          <w:sz w:val="18"/>
        </w:rPr>
        <w:t xml:space="preserve">Historische Fassung: Stand 07.07.2021 bis 01.09.2023. Dies ist nicht die aktuelle Fassung.</w:t>
      </w:r>
    </w:p>
    <w:p>
      <w:r>
        <w:t xml:space="preserve">(1) Das Kraftfahrt-Bundesamt führt eine Zentrale Datenbank der Übereinstimmungsbescheinigungen für solche Fahrzeuge, für die durch den Hersteller oder auf seine Veranlassung eine Zulassungsbescheinigung Teil II ausgefüllt worden ist oder ausgefüllt werden soll. Diese Datenbank wird für folgende Zwecke geführt:</w:t>
      </w:r>
    </w:p>
    <w:p>
      <w:pPr>
        <w:ind w:left="420"/>
      </w:pPr>
      <w:r>
        <w:t xml:space="preserve">1. für den Nachweis im Zulassungsverfahren, dass das Fahrzeug einem genehmigten Typ entspricht, und für die maschinelle Weiterverarbeitung der Angaben über das Fahrzeug, insbesondere die maschinelle Ausfüllung der Zulassungsbescheinigung,</w:t>
      </w:r>
    </w:p>
    <w:p>
      <w:pPr>
        <w:ind w:left="420"/>
      </w:pPr>
      <w:r>
        <w:t xml:space="preserve">2. für die Prüfung von Fahrzeugeigenschaften, die nach dem oder auf Grund des Rechts der Europäischen Union einzuhalten sind,</w:t>
      </w:r>
    </w:p>
    <w:p>
      <w:pPr>
        <w:ind w:left="420"/>
      </w:pPr>
      <w:r>
        <w:t xml:space="preserve">3. für die unionsrechtlich vorgeschriebene Überwachung und Meldung der fahrzeugspezifischen CO2-Emissionen,</w:t>
      </w:r>
    </w:p>
    <w:p>
      <w:pPr>
        <w:ind w:left="420"/>
      </w:pPr>
      <w:r>
        <w:t xml:space="preserve">4. für die Bestimmung der fahrzeugbezogenen Energieeffizienzklasse nach der Pkw-Energieverbrauchskennzeichnungsverordnung vom 28. Mai 2004 (BGBl. I S. 1037), die zuletzt durch Artikel 330 der Verordnung vom 31. August 2015 (BGBl. I S. 1474) geändert worden ist, in der jeweils geltenden Fassung,</w:t>
      </w:r>
    </w:p>
    <w:p>
      <w:pPr>
        <w:ind w:left="420"/>
      </w:pPr>
      <w:r>
        <w:t xml:space="preserve">5. für statistische Aufbereitungen nach Maßgabe des Absatzes 3 und</w:t>
      </w:r>
    </w:p>
    <w:p>
      <w:pPr>
        <w:ind w:left="420"/>
      </w:pPr>
      <w:r>
        <w:t xml:space="preserve">6. für die Durchführung von Abgastests und anderen Maßnahmen im Rahmen der Marktüberwachung.</w:t>
      </w:r>
    </w:p>
    <w:p>
      <w:r>
        <w:t xml:space="preserve">(2) Die Zentrale Datenbank der Übereinstimmungsbescheinigungen enthält die von den Herstellern von Fahrzeugen nach Absatz 4, 4a und 5 übermittelten Daten mit Bezug auf die Fahrzeug-Identifizierungsnummern. Das Kraftfahrt-Bundesamt ist befugt, diese Daten für die Führung der Datenbank und für die Zwecke nach Absatz 1 zu erheben, zu speichern und zu verwenden.</w:t>
      </w:r>
    </w:p>
    <w:p>
      <w:r>
        <w:t xml:space="preserve">(3) Das Kraftfahrt-Bundesamt darf die Daten nach Absatz 2 nach statistischen Gesichtspunkten auswerten, um Gruppierungen der Fahrzeugtypen zu bestimmen, die für Zwecke der amtlichen Statistik oder für wirtschaftliche Zwecke Dritter verwendet werden können. Die Vorschriften des Bundesstatistikgesetzes finden Anwendung.</w:t>
      </w:r>
    </w:p>
    <w:p>
      <w:r>
        <w:t xml:space="preserve">(4) Die Hersteller von Fahrzeugen, die Inhaber einer EG-Typgenehmigung sind, oder deren bevollmächtigte Vertreter müssen dem Kraftfahrt-Bundesamt unter Angabe der Fahrzeug-Identifizierungsnummer die nach Maßgabe der jeweils geltenden Vorschriften der Europäischen Union in die Übereinstimmungsbescheinigungen einzutragenden Daten jeder ausgestellten Übereinstimmungsbescheinigung unverzüglich übermitteln,</w:t>
      </w:r>
    </w:p>
    <w:p>
      <w:pPr>
        <w:ind w:left="420"/>
      </w:pPr>
      <w:r>
        <w:t xml:space="preserve">1. wenn sie für diese Fahrzeuge eine Zulassungsbescheinigung Teil II ausfüllen oder</w:t>
      </w:r>
    </w:p>
    <w:p>
      <w:pPr>
        <w:ind w:left="420"/>
      </w:pPr>
      <w:r>
        <w:t xml:space="preserve">2. sobald auf ihre Veranlassung hin eine Zulassungsbescheinigung Teil II für diese Fahrzeuge ausgestellt werden soll.</w:t>
      </w:r>
    </w:p>
    <w:p>
      <w:r>
        <w:t xml:space="preserve">(4a) Die Hersteller von Fahrzeugen, die Inhaber einer EG-Typgenehmigung sind, oder deren bevollmächtigte Vertreter prüfen für jedes Fahrzeug, für das sie eine Übereinstimmungsbescheinigung ausstellen, deren Daten nach Absatz 4 zu übermitteln sind, ob aufgrund von anderen als in den Schlüsselnummern abgebildeten technischen Gegebenheiten ein rechtliches Verbot für die erstmalige Zulassung dieses Fahrzeugs bestehen wird. Diese Prüfung nehmen sie ab dem Zeitpunkt des Inkrafttretens einer Rechtsvorschrift vor, die eine technische Regelung enthält, die zu einem Verbot der erstmaligen Zulassung führen kann. Der Verpflichtete nach Satz 1 hat dem Kraftfahrt-Bundesamt die unter ein solches Verbot fallenden Fahrzeuge spätestens 30 Werktage vor dem Zeitpunkt des Wirksamwerdens des Verbots unter Angabe der Fahrzeug-Identifizierungsnummer und des letzten zulässigen Erstzulassungsdatums mitzuteilen. Stellt der Verpflichtete nach Satz 1 einen Antrag auf Genehmigung einer auslaufenden Serie, kann er die Mitteilung nach Satz 3 auch erst gemeinsam mit diesem Antrag vornehmen, spätestens jedoch 15 Tage vor dem Zeitpunkt des Wirksamwerdens des Verbots. In diesem Fall bezieht sich die Mitteilung auf alle Fahrzeug-Identifizierungsnummern für Fahrzeuge, für die die auslaufende Serie beantragt und genehmigt wird. Darüber hinaus meldet der Verpflichtete nach Satz 1 die ihm bekannten Fahrzeug-Identifizierungsnummern für Fahrzeuge, die ebenfalls unter das Verbot der erstmaligen Zulassung fallen können. Die Mitteilungen nach den Sätzen 2 bis 6 sind mit einer Erklärung zu versehen, dass dem Verpflichteten keine weiteren Fahrzeuge bekannt sind, die unter das Verbot der erstmaligen Zulassung fallen können.</w:t>
      </w:r>
    </w:p>
    <w:p>
      <w:r>
        <w:t xml:space="preserve">(5) Die Hersteller von Fahrzeugen, die Inhaber einer EG-Typgenehmigung sind, oder deren bevollmächtigte Vertreter können die nach Maßgabe der jeweils geltenden Vorschriften der Europäischen Union in die Übereinstimmungsbescheinigungen einzutragenden Daten jeder ausgestellten Übereinstimmungsbescheinigung für Fahrzeuge, für die eine Verpflichtung nach Absatz 4 nicht besteht, an das Kraftfahrt-Bundesamt zur Speicherung in der Zentralen Datenbank der Übereinstimmungsbescheinigungen übermitteln.</w:t>
      </w:r>
    </w:p>
    <w:p>
      <w:r>
        <w:t xml:space="preserve">(6) Das Kraftfahrt-Bundesamt bestimmt die technischen Standards für die Datenübermittlung unter Berücksichtigung von Festlegungen für den internationalen Datenaustausch und veröffentlicht diese im Bundesanzeiger sowie nachrichtlich im Verkehrsblatt.</w:t>
      </w:r>
    </w:p>
    <w:p>
      <w:r>
        <w:t xml:space="preserve">(7) Das Kraftfahrt-Bundesamt schließt durch geeignete technische und organisatorische Maßnahmen aus, dass die Zentrale Datenbank der Übereinstimmungsbescheinigungen mit dem Zentralen Fahrzeugregister verknüpft werden kann; das Gleiche gilt für die Zulassungsbehörden in Ansehung ihrer örtlichen Fahrzeugregister. Die Daten werden zehn Jahre nach ihrer Übermittlung in diese Datenbank gelöscht.</w:t>
      </w:r>
    </w:p>
    <w:p>
      <w:r>
        <w:t xml:space="preserve">(8) Die Zulassungsbehörden sind befugt, unter Verwendung der Fahrzeug-Identifizierungsnummer die Daten nach Absatz 2 zur Erfüllung ihrer Aufgaben für die in Absatz 1 Nummer 1 und 2 genannten Zwecke automatisiert abzurufen und sie in den Fahrzeugregistern zu speichern und zu verwenden.</w:t>
      </w:r>
    </w:p>
    <w:p>
      <w:r>
        <w:t xml:space="preserve">(9) Die von einem Hersteller übermittelten und gespeicherten Daten dürfen diesem zur Beseitigung von Fehlern und zur Vervollständigung der Daten vom Kraftfahrt-Bundesamt übermittelt und zu diesen Zwecken verwendet werden. Soweit dies für die Zwecke nach Absatz 1 erforderlich ist, darf das Kraftfahrt-Bundesamt dem Hersteller von zugelassenen Fahrzeugen, für die er noch keine Daten im Sinne des Absatzes 4 oder 5 übermittelt hat, deren Fahrzeug-Identifizierungsnummern zum Zweck der Ergänzung der fehlenden Daten übermitteln.</w:t>
      </w:r>
    </w:p>
    <w:p>
      <w:r>
        <w:rPr>
          <w:color w:val="555555"/>
          <w:sz w:val="17"/>
        </w:rPr>
        <w:t xml:space="preserve">Zitiervorschlag: § 45a FZV 2011</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https://recht.nulegal.eu/gesetze/FZV%202011/45a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