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FZV 2011 — Löschung der Daten im örtlichen Fahrzeugregister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Historische Fassung: Stand 10.06.2019 bis 01.09.2023. Dies ist nicht die aktuelle Fassung.</w:t>
      </w:r>
    </w:p>
    <w:p>
      <w:r>
        <w:t xml:space="preserve">(1) Bei Fahrzeugen mit Kennzeichen nach § 8 sind die Daten im örtlichen Fahrzeugregister vorbehaltlich des Absatzes 4 spätestens ein Jahr nach Eingang der vom Kraftfahrt-Bundesamt nach § 38 Absatz 1 oder Absatz 2 übersandten Mitteilung zu löschen. Die in § 33 Absatz 1 Satz 2 des Straßenverkehrsgesetzes bezeichneten Daten sind nach Zuteilung des Kennzeichens für den neuen Halter, sonst spätestens ein Jahr nach Eingang der vom Kraftfahrt-Bundesamt nach § 38 Absatz 1 oder Absatz 2 übersandten Mitteilung zu löschen.</w:t>
      </w:r>
    </w:p>
    <w:p>
      <w:r>
        <w:t xml:space="preserve">(2) Die bei der Zuteilung von roten Kennzeichen oder von Kurzzeitkennzeichen im örtlichen Fahrzeugregister gespeicherten Daten sind vorbehaltlich des Absatzes 4 spätestens ein Jahr nach der Rückgabe, der Entziehung oder dem Ablaufdatum des Kennzeichens zu löschen.</w:t>
      </w:r>
    </w:p>
    <w:p>
      <w:r>
        <w:t xml:space="preserve">(3) Bei Fahrzeugen mit Ausfuhrkennzeichen sind die Daten im örtlichen Fahrzeugregister vorbehaltlich des Absatzes 4 spätestens ein Jahr nach Ablauf der Gültigkeit der Zulassung zu löschen.</w:t>
      </w:r>
    </w:p>
    <w:p>
      <w:r>
        <w:t xml:space="preserve">(4) Es sind zu löschen</w:t>
      </w:r>
    </w:p>
    <w:p>
      <w:pPr>
        <w:ind w:left="420"/>
      </w:pPr>
      <w:r>
        <w:t xml:space="preserve">1. die Angaben über Diebstahl oder sonstiges Abhandenkommen des Fahrzeugs, des Kennzeichens oder der Zulassungsbescheinigung Teil II bei deren Wiederauffinden, sonst spätestens nach Ende der Fahndungsmaßnahmen,</w:t>
      </w:r>
    </w:p>
    <w:p>
      <w:pPr>
        <w:ind w:left="420"/>
      </w:pPr>
      <w:r>
        <w:t xml:space="preserve">2. die Fahrzeug-Identifizierungsnummer, das Kennzeichen, frühere Kennzeichen sowie die in § 31 Absatz 1 Nummer 19 Buchstabe a, b und e, Absatz 2 Nummer 4 Buchstabe a und Absatz 3 Nummer 4 Buchstabe a bezeichneten Daten drei Jahre nachdem die Versicherungsbestätigung, in der diese Daten jeweils enthalten sind, ihre Geltung verloren hat,</w:t>
      </w:r>
    </w:p>
    <w:p>
      <w:pPr>
        <w:ind w:left="420"/>
      </w:pPr>
      <w:r>
        <w:t xml:space="preserve">3. die Angaben über den früheren Halter nach § 32 Absatz 3 ein Jahr nach Zuteilung des Kennzeichens für den neuen Halter oder bei Diebstahl oder sonstigem Abhandenkommen von Fahrzeug oder Kennzeichen zum gleichen Zeitpunkt wie die Angaben nach Nummer 1.</w:t>
      </w:r>
    </w:p>
    <w:p>
      <w:r>
        <w:t xml:space="preserve">(5) Die Daten über Kennzeichen nach § 31 Absatz 1 Nummer 4 und Absatz 4 sind im örtlichen Fahrzeugregister spätestens ein Jahr nach Rückgabe oder Entziehung des Kennzeichens zu löschen. Bei Diebstahl oder sonstigem Abhandenkommen des Kennzeichens gilt Absatz 4 Nummer 1.</w:t>
      </w:r>
    </w:p>
    <w:p>
      <w:r>
        <w:t xml:space="preserve">(6) Sofern die Zulassungsbehörde die Datenhaltung des örtlichen Fahrzeugregisters dem Zentralen Fahrzeugregister übertragen hat, ist § 44 anzuwenden.</w:t>
      </w:r>
    </w:p>
    <w:p>
      <w:r>
        <w:rPr>
          <w:color w:val="555555"/>
          <w:sz w:val="17"/>
        </w:rPr>
        <w:t xml:space="preserve">Zitiervorschlag: § 45 FZV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https://recht.nulegal.eu/gesetze/FZV%202011/45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