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FZV 2011 — Übermittlungssperren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28.07.2021 bis 01.09.2023. Dies ist nicht die aktuelle Fassung.</w:t>
      </w:r>
    </w:p>
    <w:p>
      <w:r>
        <w:t xml:space="preserve">(1) Übermittlungssperren gegenüber Dritten nach § 41 des Straßenverkehrsgesetzes dürfen nur durch die für die Zulassungsbehörde zuständige oberste Landesbehörde oder die von ihr bestimmten oder nach Landesrecht zuständigen Stellen angeordnet werden; die Zulassungsbehörde vermerkt die Sperre unverzüglich im örtlichen Fahrzeugregister. Das Gleiche gilt für eine Änderung der Sperre. Wird die Sperre aufgehoben, ist der Sperrvermerk von der Zulassungsbehörde unverzüglich zu löschen.</w:t>
      </w:r>
    </w:p>
    <w:p>
      <w:r>
        <w:t xml:space="preserve">(2) Übermittlungssperren gegenüber Dritten sind von der sperrenden Behörde oder der Zulassungsbehörde dem Kraftfahrt-Bundesamt mitzuteilen. Das Kraftfahrt-Bundesamt vermerkt die Sperre und die sperrende Behörde unverzüglich im Zentralen Fahrzeugregister. Die Änderung oder Aufhebung der Sperre ist von der sperrenden Behörde oder der Zulassungsbehörde dem Kraftfahrt-Bundesamt mitzuteilen. Für die Änderung der Sperre gilt Satz 2 entsprechend. Wird die Aufhebung der Sperre dem Kraftfahrt-Bundesamt gemeldet, so ist der Sperrvermerk unverzüglich zu löschen.</w:t>
      </w:r>
    </w:p>
    <w:p>
      <w:r>
        <w:t xml:space="preserve">(3) Übermittlungsersuchen, die sich auf gesperrte Daten beziehen, sind von der Zulassungsbehörde oder vom Kraftfahrt-Bundesamt an die sperrende Behörde weiterzuleiten.</w:t>
      </w:r>
    </w:p>
    <w:p>
      <w:r>
        <w:rPr>
          <w:color w:val="555555"/>
          <w:sz w:val="17"/>
        </w:rPr>
        <w:t xml:space="preserve">Zitiervorschlag: § 43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