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39a FZV 2011 — Automatisiertes Anfrage- und Auskunftsverfahren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10.06.2019 bis 01.09.2023. Dies ist nicht die aktuelle Fassung.</w:t>
      </w:r>
    </w:p>
    <w:p>
      <w:r>
        <w:t xml:space="preserve">Die technische Abwicklung des automatisierten Anfrage- und Auskunftsverfahrens nach § 36a des Straßenverkehrsgesetzes hat nach einem vom Kraftfahrt-Bundesamt im Bundesanzeiger und nachrichtlich im Verkehrsblatt veröffentlichten Standard zu erfolgen. Vor der Veröffentlichung sind die zuständigen obersten Landesbehörden anzuhören.</w:t>
      </w:r>
    </w:p>
    <w:p>
      <w:r>
        <w:rPr>
          <w:color w:val="555555"/>
          <w:sz w:val="17"/>
        </w:rPr>
        <w:t xml:space="preserve">Zitiervorschlag: § 39a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https://recht.nulegal.eu/gesetze/FZV%202011/39a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