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FZV 2011 — Übermittlung von Daten an das Kraftfahrt-Bundesamt</w:t>
      </w:r>
    </w:p>
    <w:p>
      <w:r>
        <w:rPr>
          <w:color w:val="555555"/>
          <w:sz w:val="18"/>
        </w:rPr>
        <w:t xml:space="preserve">Fahrzeug-Zulassungsverordnung</w:t>
      </w:r>
    </w:p>
    <w:p>
      <w:r>
        <w:rPr>
          <w:color w:val="555555"/>
          <w:sz w:val="18"/>
        </w:rPr>
        <w:t xml:space="preserve">Historische Fassung: Stand 28.07.2021 bis 01.09.2023. Dies ist nicht die aktuelle Fassung.</w:t>
      </w:r>
    </w:p>
    <w:p>
      <w:r>
        <w:t xml:space="preserve">(1) Die Zulassungsbehörde hat dem Kraftfahrt-Bundesamt zur Speicherung im Zentralen Fahrzeugregister die nach § 30 zu speichernden Fahrzeugdaten sowie die nach § 32 zu speichernden Halterdaten zu übermitteln. Außerdem hat die Zulassungsbehörde dem Kraftfahrt-Bundesamt zur Aktualisierung des Zentralen Fahrzeugregisters jede Änderung oder Korrektur der Daten und das Datum der Änderung sowie die Löschung der Daten und das Datum der Löschung im örtlichen Fahrzeugregister zu übermitteln.</w:t>
      </w:r>
    </w:p>
    <w:p>
      <w:r>
        <w:t xml:space="preserve">(2) Nimmt eine andere als die für das Kennzeichen zuständige Zulassungsbehörde die Außerbetriebsetzung des Fahrzeugs vor, so hat sie dem Kraftfahrt-Bundesamt die Außerbetriebsetzung anzuzeigen und außerdem zur Aktualisierung des Zentralen Fahrzeugregisters zu übermitteln:</w:t>
      </w:r>
    </w:p>
    <w:p>
      <w:pPr>
        <w:ind w:left="420"/>
      </w:pPr>
      <w:r>
        <w:t xml:space="preserve">1. das Datum der Außerbetriebsetzung,</w:t>
      </w:r>
    </w:p>
    <w:p>
      <w:pPr>
        <w:ind w:left="420"/>
      </w:pPr>
      <w:r>
        <w:t xml:space="preserve">2. das Kennzeichen und einen Hinweis über dessen Entstempelung und bei einem Wechselkennzeichen einen Hinweis darauf, dass es sich um ein Wechselkennzeichen handelt,</w:t>
      </w:r>
    </w:p>
    <w:p>
      <w:pPr>
        <w:ind w:left="420"/>
      </w:pPr>
      <w:r>
        <w:t xml:space="preserve">3. die Fahrzeug-Identifizierungsnummer,</w:t>
      </w:r>
    </w:p>
    <w:p>
      <w:pPr>
        <w:ind w:left="420"/>
      </w:pPr>
      <w:r>
        <w:t xml:space="preserve">4. die Marke des Fahrzeugs,</w:t>
      </w:r>
    </w:p>
    <w:p>
      <w:pPr>
        <w:ind w:left="420"/>
      </w:pPr>
      <w:r>
        <w:t xml:space="preserve">5. die Nummer der Zulassungsbescheinigung Teil II und einen Hinweis über deren Verbleib.</w:t>
      </w:r>
    </w:p>
    <w:p>
      <w:r>
        <w:t xml:space="preserve">(3) Die Datenübermittlung nach den Absätzen 1 und 2 erfolgt im Wege der Datenfernübertragung durch Direkteinstellung, mindestens jedoch arbeitstäglich im Wege der Dateienübertragung. Ausführungsregeln zur Datenübermittlung werden vom Kraftfahrt-Bundesamt im Bundesanzeiger und zusätzlich im Verkehrsblatt veröffentlicht.</w:t>
      </w:r>
    </w:p>
    <w:p>
      <w:r>
        <w:rPr>
          <w:color w:val="555555"/>
          <w:sz w:val="17"/>
        </w:rPr>
        <w:t xml:space="preserve">Zitiervorschlag: § 33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