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FZV 2011 — Vorübergehende Teilnahme am Straßenverkehr im Inland</w:t>
      </w:r>
    </w:p>
    <w:p>
      <w:r>
        <w:rPr>
          <w:color w:val="555555"/>
          <w:sz w:val="18"/>
        </w:rPr>
        <w:t xml:space="preserve">Fahrzeug-Zulassungsverordnung</w:t>
      </w:r>
    </w:p>
    <w:p>
      <w:r>
        <w:rPr>
          <w:color w:val="555555"/>
          <w:sz w:val="18"/>
        </w:rPr>
        <w:t xml:space="preserve">Historische Fassung: Stand 10.06.2019 bis 01.09.2023. Dies ist nicht die aktuelle Fassung.</w:t>
      </w:r>
    </w:p>
    <w:p>
      <w:r>
        <w:t xml:space="preserve">(1) In einem anderen Mitgliedstaat der Europäischen Union oder einem anderen Vertragsstaat des Abkommens über den Europäischen Wirtschaftsraum zugelassene Fahrzeuge dürfen vorübergehend am Verkehr im Inland teilnehmen, wenn für sie von einer zuständigen Stelle des anderen Mitgliedstaates oder des anderen Vertragsstaates eine gültige Zulassungsbescheinigung ausgestellt und im Inland kein regelmäßiger Standort begründet ist. Die Zulassungsbescheinigung muss mindestens die Angaben enthalten, die im Fahrzeugscheinheft für Fahrzeuge mit rotem Kennzeichen nach Anlage 9 vorgesehen sind. Zulassungsbescheinigungen nach Satz 1, die den Anforderungen des Satzes 2 genügen und ausschließlich zum Zwecke der Überführung eines Fahrzeugs ausgestellt werden, werden vom Bundesministerium für Verkehr und digitale Infrastruktur im Verkehrsblatt bekannt gemacht. Satz 1 gilt nicht für ein Fahrzeug, das sich zum Zeitpunkt der Zulassung durch den anderen Mitgliedstaat oder anderen Vertragsstaat im Inland befunden hat.</w:t>
      </w:r>
    </w:p>
    <w:p>
      <w:r>
        <w:t xml:space="preserve">(1a) In einem anderen Mitgliedstaat der Europäischen Union oder einem anderen Vertragsstaat des Abkommens über den Europäischen Wirtschaftsraum zulassungsfreie Anhänger dürfen vorübergehend am Verkehr im Inland teilnehmen, wenn sie von einem Zugfahrzeug gezogen werden, das im selben Mitgliedstaat oder im selben Vertragsstaat zugelassen ist und im Inland kein regelmäßiger Standort begründet ist.</w:t>
      </w:r>
    </w:p>
    <w:p>
      <w:r>
        <w:t xml:space="preserve">(2) In einem Drittstaat zugelassene Fahrzeuge dürfen vorübergehend am Verkehr im Inland teilnehmen, wenn für sie von einer zuständigen ausländischen Stelle eine gültige Zulassungsbescheinigung oder ein Internationaler Zulassungsschein nach Artikel 4 und Anlage B des Internationalen Abkommens vom 24. April 1926 über Kraftfahrzeugverkehr ausgestellt ist und im Inland kein regelmäßiger Standort begründet ist. Die Zulassungsbescheinigung muss mindestens die nach Artikel 35 des Übereinkommens vom 8. November 1968 über den Straßenverkehr erforderlichen Angaben enthalten. Satz 1 gilt nicht für ein Fahrzeug, das sich zum Zeitpunkt der Zulassung durch den Drittstaat im Inland befunden hat.</w:t>
      </w:r>
    </w:p>
    <w:p>
      <w:r>
        <w:t xml:space="preserve">(3) Ausländische Fahrzeuge dürfen vorübergehend am Verkehr im Inland nur teilnehmen, wenn sie betriebs- und verkehrssicher sind.</w:t>
      </w:r>
    </w:p>
    <w:p>
      <w:r>
        <w:t xml:space="preserve">(4) Ist die Zulassungsbescheinigung nicht in deutscher Sprache abgefasst und entspricht sie nicht der Richtlinie 1999/37/EG oder dem Artikel 35 des Übereinkommens vom 8. November 1968 über den Straßenverkehr, muss sie mit einer von einem Berufskonsularbeamten oder Honorarkonsul der Bundesrepublik Deutschland im Ausstellungsstaat bestätigten Übersetzung oder mit einer Übersetzung durch einen international anerkannten Automobilklub des Ausstellungsstaates oder durch eine vom Bundesministerium für Verkehr und digitale Infrastruktur bestimmte Stelle verbunden sein.</w:t>
      </w:r>
    </w:p>
    <w:p>
      <w:r>
        <w:t xml:space="preserve">(5) Der Führer des Kraftfahrzeugs hat die ausländische Zulassungsbescheinigung nach Absatz 1 oder 2 sowie die nach Absatz 4 erforderliche Übersetzung oder den Internationalen Zulassungsschein nach Absatz 2 mitzuführen und zuständigen Personen auf Verlangen zur Prüfung auszuhändigen.</w:t>
      </w:r>
    </w:p>
    <w:p>
      <w:r>
        <w:t xml:space="preserve">(6) Als vorübergehend im Sinne der Absätze 1 und 2 gilt ein Zeitraum bis zu einem Jahr. Die Frist beginnt</w:t>
      </w:r>
    </w:p>
    <w:p>
      <w:pPr>
        <w:ind w:left="420"/>
      </w:pPr>
      <w:r>
        <w:t xml:space="preserve">1. bei Zulassungsbescheinigungen mit dem Tag des Grenzübertritts und</w:t>
      </w:r>
    </w:p>
    <w:p>
      <w:pPr>
        <w:ind w:left="420"/>
      </w:pPr>
      <w:r>
        <w:t xml:space="preserve">2. bei internationalen Zulassungsscheinen nach dem Internationalen Abkommen vom 24. April 1926 über Kraftfahrzeugverkehr mit dem Ausstellungstag.</w:t>
      </w:r>
    </w:p>
    <w:p>
      <w:r>
        <w:rPr>
          <w:color w:val="555555"/>
          <w:sz w:val="17"/>
        </w:rPr>
        <w:t xml:space="preserve">Zitiervorschlag: § 20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