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FZV 2011 — Fahrten zur dauerhaften Verbringung eines Fahrzeugs in das Ausland</w:t>
      </w:r>
    </w:p>
    <w:p>
      <w:r>
        <w:rPr>
          <w:color w:val="555555"/>
          <w:sz w:val="18"/>
        </w:rPr>
        <w:t xml:space="preserve">Fahrzeug-Zulassungsverordnung</w:t>
      </w:r>
    </w:p>
    <w:p>
      <w:r>
        <w:rPr>
          <w:color w:val="555555"/>
          <w:sz w:val="18"/>
        </w:rPr>
        <w:t xml:space="preserve">Historische Fassung: Stand 10.06.2019 bis 01.09.2023. Dies ist nicht die aktuelle Fassung.</w:t>
      </w:r>
    </w:p>
    <w:p>
      <w:r>
        <w:t xml:space="preserve">(1) Soll ein zulassungspflichtiges nicht zugelassenes Kraftfahrzeug oder ein zulassungsfreies und kennzeichenpflichtiges Kraftfahrzeug, dem kein Kennzeichen zugeteilt ist, mit eigener Triebkraft oder ein Anhänger hinter einem Kraftfahrzeug dauerhaft in einen anderen Staat verbracht werden, sind die Vorschriften dieser Verordnung vorbehaltlich der §§ 16 und 16a, soweit dies von dem ausländischen Staat zugelassen ist, mit folgender Maßgabe anzuwenden:</w:t>
      </w:r>
    </w:p>
    <w:p>
      <w:pPr>
        <w:ind w:left="420"/>
      </w:pPr>
      <w:r>
        <w:t xml:space="preserve">1. Das Fahrzeug darf nur zugelassen werden, wenn durch Vorlage einer Versicherungsbestätigung im Sinne der Anlage 11 Nummer 3 nachgewiesen ist, dass eine Haftpflichtversicherung nach dem Gesetz über die Haftpflichtversicherung für ausländische Kraftfahrzeuge und Kraftfahrzeuganhänger besteht und wenn der nächste Termin zur Durchführung der Untersuchung nach § 29 der Straßenverkehrs-Zulassungs-Ordnung nach dem Ablauf der Zulassung gemäß Nummer 2 liegt; ansonsten ist eine solche Untersuchung durchzuführen.</w:t>
      </w:r>
    </w:p>
    <w:p>
      <w:pPr>
        <w:ind w:left="420"/>
      </w:pPr>
      <w:r>
        <w:t xml:space="preserve">2. Die Zulassung ist auf die Dauer der nach Nummer 1 nachgewiesenen Haftpflichtversicherung, längstens auf ein Jahr, zu befristen. Unberührt bleibt die Befugnis der Zulassungsbehörde, durch Befristung der Zulassung und durch Auflagen sicherzustellen, dass das Fahrzeug in angemessener Zeit den Geltungsbereich dieser Verordnung verlässt.</w:t>
      </w:r>
    </w:p>
    <w:p>
      <w:pPr>
        <w:ind w:left="420"/>
      </w:pPr>
      <w:r>
        <w:t xml:space="preserve">3. An die Stelle des Kennzeichens tritt das Ausfuhrkennzeichen. Es besteht aus dem Unterscheidungszeichen nach § 8 Absatz 1 Satz 2 und einer Erkennungsnummer. Die Erkennungsnummer besteht aus einer ein- bis vierstelligen Zahl und einem nachfolgenden Buchstaben. Das Kennzeichenschild enthält außerdem das Ablaufdatum der Zulassung. Das Kennzeichen ist nach § 10, ausgenommen Absatz 3 Satz 2, 3 und 5 bis 7, in Verbindung mit Anlage 4 Abschnitt 1 und 8 auszugestalten und anzubringen. Fahrzeuge mit Ausfuhrkennzeichen dürfen nur nach Maßgabe des § 10 Absatz 12 in Betrieb gesetzt werden. Der Halter darf die Inbetriebnahme eines Fahrzeugs nicht anordnen oder zulassen, wenn die Voraussetzungen nach Satz 5 nicht vorliegen.</w:t>
      </w:r>
    </w:p>
    <w:p>
      <w:pPr>
        <w:ind w:left="420"/>
      </w:pPr>
      <w:r>
        <w:t xml:space="preserve">4. Die Zulassungsbescheinigung Teil I ist auf die Ausfuhr des Fahrzeugs zu beschränken und mit dem Datum des Ablaufs der Gültigkeitsdauer der Zulassung zu versehen. Zusätzlich kann ein Internationaler Zulassungsschein nach Maßgabe des § 18, auf dem das Datum des Ablaufs der Gültigkeitsdauer der Zulassung vermerkt ist, ausgestellt werden. Nach Ablauf der Gültigkeitsdauer der Zulassung darf das Fahrzeug auf öffentlichen Straßen nicht mehr in Betrieb gesetzt werden. Der Halter darf im Falle des Satzes 3 die Inbetriebnahme eines Fahrzeugs nicht anordnen oder zulassen.</w:t>
      </w:r>
    </w:p>
    <w:p>
      <w:r>
        <w:t xml:space="preserve">(2) Bei der Zuteilung eines Ausfuhrkennzeichens sind der Zulassungsbehörde zur Speicherung in den Fahrzeugregistern neben den in § 6 Absatz 1 Satz 2 bezeichneten Halterdaten die in § 6 Absatz 4 Nummer 3 bezeichneten Daten zur Kraftfahrzeug-Haftpflichtversicherung und das Ende des Versicherungsverhältnisses sowie die zur Ausstellung der Zulassungsbescheinigung erforderlichen Fahrzeugdaten und bei Personenkraftwagen die vom Hersteller aufgebrachte Farbe des Fahrzeugs mitzuteilen und auf Verlangen nachzuweisen.</w:t>
      </w:r>
    </w:p>
    <w:p>
      <w:r>
        <w:t xml:space="preserve">(3) Der Führer eines Kraftfahrzeugs hat die Zulassungsbescheinigung Teil I nach Absatz 1 Nummer 4 mitzuführen und zuständigen Personen auf Verlangen zur Prüfung auszuhändigen.</w:t>
      </w:r>
    </w:p>
    <w:p>
      <w:r>
        <w:t xml:space="preserve">(4) Soll ein zugelassenes oder ein zulassungsfreies und kennzeichenpflichtiges Fahrzeug mit einem Ausfuhrkennzeichen in einen anderen Staat verbracht werden, ist die Zuteilung dieses Kennzeichens unter Vorlage der Zulassungsbescheinigung und der nach § 8 zugeteilten Kennzeichen zur Entstempelung zu beantragen. Die bisherige Zulassungsbescheinigung Teil I ist einzuziehen. Die Zulassungsbescheinigung Teil II ist fortzuschreiben. § 12 Absatz 5 ist entsprechend anzuwenden. Die Absätze 1 bis 3 sind entsprechend anzuwenden.</w:t>
      </w:r>
    </w:p>
    <w:p>
      <w:r>
        <w:rPr>
          <w:color w:val="555555"/>
          <w:sz w:val="17"/>
        </w:rPr>
        <w:t xml:space="preserve">Zitiervorschlag: § 19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