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15l FZV 2011 — Internetbasierte Änderung bei Halter- oder Wohnsitzwechsel, sofortige Inbetriebnahme</w:t>
      </w:r>
    </w:p>
    <w:p>
      <w:r>
        <w:rPr>
          <w:color w:val="555555"/>
          <w:sz w:val="18"/>
        </w:rPr>
        <w:t xml:space="preserve">Fahrzeug-Zulassungsverordnung</w:t>
      </w:r>
    </w:p>
    <w:p>
      <w:r>
        <w:rPr>
          <w:color w:val="555555"/>
          <w:sz w:val="18"/>
        </w:rPr>
        <w:t xml:space="preserve">Historische Fassung: Stand 02.10.2019 bis 01.09.2023. Dies ist nicht die aktuelle Fassung.</w:t>
      </w:r>
    </w:p>
    <w:p>
      <w:r>
        <w:t xml:space="preserve">(1) Der Halter kann die Änderung der Zulassung bei</w:t>
      </w:r>
    </w:p>
    <w:p>
      <w:pPr>
        <w:ind w:left="420"/>
      </w:pPr>
      <w:r>
        <w:t xml:space="preserve">1. einem Wechsel des Wohnsitzes oder des Sitzes des Halters im Sinne des § 13 Absatz 1 Satz 1 Nummer 1, auch in Verbindung mit Absatz 3 Satz 1 oder</w:t>
      </w:r>
    </w:p>
    <w:p>
      <w:pPr>
        <w:ind w:left="420"/>
      </w:pPr>
      <w:r>
        <w:t xml:space="preserve">2. einem Wechsel des Halters im Sinne des § 13 Absatz 4 Satz 3</w:t>
      </w:r>
    </w:p>
    <w:p>
      <w:r>
        <w:t xml:space="preserve">nach dem Verfahren des Unterabschnitts 1 in Verbindung mit § 15i nach Maßgabe der folgenden Absätze beantragen (internetbasierte Änderung bei Halter- oder Wohnsitzwechsel).</w:t>
      </w:r>
    </w:p>
    <w:p>
      <w:r>
        <w:t xml:space="preserve">(2) § 13 Absatz 1 gilt mit den folgenden Maßgaben:</w:t>
      </w:r>
    </w:p>
    <w:p>
      <w:pPr>
        <w:ind w:left="420"/>
      </w:pPr>
      <w:r>
        <w:t xml:space="preserve">1. Die Vorlage der Zulassungsbescheinigung Teil I nach § 13 Absatz 1 wird durch die Erfassung und Verifizierung ihres Sicherheitscodes nach § 15d Absatz 1 Nummer 2 ersetzt.</w:t>
      </w:r>
    </w:p>
    <w:p>
      <w:pPr>
        <w:ind w:left="420"/>
      </w:pPr>
      <w:r>
        <w:t xml:space="preserve">2. Die Vorlage der Zulassungsbescheinigung Teil II nach § 13 Absatz 1 wird, vorbehaltlich des Absatzes 3 Satz 2, durch die Erfassung und Verifizierung ihres Sicherheitscodes nach § 15d Absatz 1 Nummer 3 ersetzt.</w:t>
      </w:r>
    </w:p>
    <w:p>
      <w:r>
        <w:t xml:space="preserve">(3) Verlegt der Halter seinen Wohnsitz oder Sitz innerhalb des bisherigen Zulassungsbezirks oder in einen anderen Zulassungsbezirk, sind die Angaben nach §15i Absatz 2 Nummer 2 bis 4 nicht erforderlich. Soll in den Fällen des Satzes 1 das bisherige Kennzeichen weitergeführt werden, sind auch nicht erforderlich</w:t>
      </w:r>
    </w:p>
    <w:p>
      <w:pPr>
        <w:ind w:left="420"/>
      </w:pPr>
      <w:r>
        <w:t xml:space="preserve">1. der Nachweis des Besitzes der Zulassungsbescheinigung Teil II abweichend von § 15i Absatz 1 Nummer 5 und</w:t>
      </w:r>
    </w:p>
    <w:p>
      <w:pPr>
        <w:ind w:left="420"/>
      </w:pPr>
      <w:r>
        <w:t xml:space="preserve">2. die Ausstellung der Zulassungsbescheinigung Teil II abweichend von § 15i Absatz 4 Satz 1 Nummer 3.</w:t>
      </w:r>
    </w:p>
    <w:p>
      <w:r>
        <w:t xml:space="preserve">(4) Soll das bisherige Kennzeichen weitergeführt werden, gelten die folgenden Maßgaben:</w:t>
      </w:r>
    </w:p>
    <w:p>
      <w:pPr>
        <w:ind w:left="420"/>
      </w:pPr>
      <w:r>
        <w:t xml:space="preserve">1. Liegen nach maschineller Prüfung durch das Portal der Zulassungsbehörde alle Voraussetzungen für die Änderung der Zulassung vor, erfolgt die antragsgemäße Entscheidung abweichend von § 15i Absatz 3 Satz 2 automatisiert nach § 15b Absatz 1 Satz 2 Nummer 2. In der Entscheidung sind sämtliche Angaben aus der Zulassungsbescheinigung Teil I wiederzugeben.</w:t>
      </w:r>
    </w:p>
    <w:p>
      <w:pPr>
        <w:ind w:left="420"/>
      </w:pPr>
      <w:r>
        <w:t xml:space="preserve">2. Scheitert die maschinelle Prüfung der Zulassungsvoraussetzungen, erfolgt die Entscheidung nach § 15b Absatz 1 Satz 2 Nummer 1.</w:t>
      </w:r>
    </w:p>
    <w:p>
      <w:pPr>
        <w:ind w:left="420"/>
      </w:pPr>
      <w:r>
        <w:t xml:space="preserve">3. Die Zuteilung eines neuen Kennzeichens nach § 15i Absatz 1 Nummer 4 in Verbindung mit Absatz 4 Nummer 2 und das Aufbringen der Stempelplaketten auf den Plakettenträger sowie deren Übersendung nach § 15i Absatz 4 Nummer 1 wird durch die in der Zulassungsentscheidung erlaubte Weiterführung des bisherigen Kennzeichens und der Stempelplaketten nach § 13 Absatz 3 Satz 1 Nummer 2 und § 13 Absatz 4 Satz 4 ersetzt.</w:t>
      </w:r>
    </w:p>
    <w:p>
      <w:pPr>
        <w:ind w:left="420"/>
      </w:pPr>
      <w:r>
        <w:t xml:space="preserve">4. Bis zum Empfang der nach § 15i Absatz 4 Satz 1 Nummer 3 zu übersendenden Zulassungsbescheinigung Teil I, längstens jedoch für die Dauer von zehn Tagen nach dem Abruf der automatisierten Zulassungsentscheidung nach § 15f Absatz 1 Nummer 2 Buchstabe a, genügt das Mitführen und die Aushändigung der Zulassungsentscheidung in unmittelbar lesbarer Form den Anforderungen des § 11 Absatz 6 für eine Inbetriebnahme des Fahrzeugs.</w:t>
      </w:r>
    </w:p>
    <w:p>
      <w:r>
        <w:t xml:space="preserve">(5) Im Fall des Wechsels des Halters teilt die Zulassungsbehörde dem bisherigen Halter das Datum der Wirksamkeit der Änderung der Zulassung auf den neuen Halter durch Übersendung eines schriftlichen Hinweises mit.</w:t>
      </w:r>
    </w:p>
    <w:p>
      <w:r>
        <w:rPr>
          <w:color w:val="555555"/>
          <w:sz w:val="17"/>
        </w:rPr>
        <w:t xml:space="preserve">Zitiervorschlag: § 15l FZV 2011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https://recht.nulegal.eu/gesetze/FZV%202011/15l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