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15k FZV 2011 — Internetbasierte Wiederzulassung</w:t>
      </w:r>
    </w:p>
    <w:p>
      <w:r>
        <w:rPr>
          <w:color w:val="555555"/>
          <w:sz w:val="18"/>
        </w:rPr>
        <w:t xml:space="preserve">Fahrzeug-Zulassungsverordnung</w:t>
      </w:r>
    </w:p>
    <w:p>
      <w:r>
        <w:rPr>
          <w:color w:val="555555"/>
          <w:sz w:val="18"/>
        </w:rPr>
        <w:t xml:space="preserve">Historische Fassung: Stand 02.10.2019 bis 01.09.2023. Dies ist nicht die aktuelle Fassung.</w:t>
      </w:r>
    </w:p>
    <w:p>
      <w:r>
        <w:t xml:space="preserve">(1) Der Halter kann die Zulassung eines Fahrzeugs, das nach § 14 Absatz 2 wieder zugelassen werden soll, nach dem Verfahren des Unterabschnitts 1 in Verbindung mit § 15i nach Maßgabe der folgenden Absätze beantragen (internetbasierte Wiederzulassung).</w:t>
      </w:r>
    </w:p>
    <w:p>
      <w:r>
        <w:t xml:space="preserve">(2) Das Fahrzeug darf zum Zeitpunkt des Zulassungsantrages nicht länger als sieben Jahre außer Betrieb gesetzt gewesen sein.</w:t>
      </w:r>
    </w:p>
    <w:p>
      <w:r>
        <w:t xml:space="preserve">(3) Für die Wiederzulassung gilt § 14 Absatz 2 Satz 1 mit den folgenden Maßgaben:</w:t>
      </w:r>
    </w:p>
    <w:p>
      <w:pPr>
        <w:ind w:left="420"/>
      </w:pPr>
      <w:r>
        <w:t xml:space="preserve">1. Die Vorlage der zur Außerbetriebsetzung verwendeten Zulassungsbescheinigung Teil I nach § 14 Absatz 2 Satz 1 wird durch die Erfassung und Verifizierung ihres Sicherheitscodes nach § 15d Absatz 1 Nummer 2 ersetzt.</w:t>
      </w:r>
    </w:p>
    <w:p>
      <w:pPr>
        <w:ind w:left="420"/>
      </w:pPr>
      <w:r>
        <w:t xml:space="preserve">2. Die Vorlage der Zulassungsbescheinigung Teil II nach § 14 Absatz 2 Satz 1 wird, vorbehaltlich des Absatzes 4, durch die Erfassung und Verifizierung ihres Sicherheitscodes nach § 15d Absatz 1 Nummer 3 ersetzt.</w:t>
      </w:r>
    </w:p>
    <w:p>
      <w:r>
        <w:t xml:space="preserve">(4) Bei einer Wiederzulassung auf denselben Halter sind nicht erforderlich</w:t>
      </w:r>
    </w:p>
    <w:p>
      <w:pPr>
        <w:ind w:left="420"/>
      </w:pPr>
      <w:r>
        <w:t xml:space="preserve">1. der Nachweis des Besitzes der Zulassungsbescheinigung Teil II abweichend von § 15i Absatz 1 Nummer 5 und</w:t>
      </w:r>
    </w:p>
    <w:p>
      <w:pPr>
        <w:ind w:left="420"/>
      </w:pPr>
      <w:r>
        <w:t xml:space="preserve">2. die Ausstellung der Zulassungsbescheinigung Teil II abweichend von § 15i Absatz 4 Satz 1 Nummer 3.</w:t>
      </w:r>
    </w:p>
    <w:p>
      <w:r>
        <w:t xml:space="preserve">(5) Es ist anzugeben, dass für das Fahrzeug kein Verwertungsnachweis ausgestellt worden ist. Diese Angabe wird durch das Portal der Zulassungsbehörde im Verfahren nach § 15i Absatz 3 Satz 1 in Verbindung mit Anlage 8b Nummer 2 maschinell verifiziert und verarbeitet.</w:t>
      </w:r>
    </w:p>
    <w:p>
      <w:r>
        <w:t xml:space="preserve">(6) Zusätzlich zum Ergebnis der automatisierten Vorprüfung prüft die Zulassungsbehörde das Vorliegen von Hindernissen für die Wiederzulassung auf Grund technischer Vorschriften.</w:t>
      </w:r>
    </w:p>
    <w:p>
      <w:r>
        <w:rPr>
          <w:color w:val="555555"/>
          <w:sz w:val="17"/>
        </w:rPr>
        <w:t xml:space="preserve">Zitiervorschlag: § 15k FZV 2011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https://recht.nulegal.eu/gesetze/FZV%202011/15k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