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FZV 2011 — Zulässigkeit internetbasierter Zulassungsverfahren</w:t>
      </w:r>
    </w:p>
    <w:p>
      <w:r>
        <w:rPr>
          <w:color w:val="555555"/>
          <w:sz w:val="18"/>
        </w:rPr>
        <w:t xml:space="preserve">Fahrzeug-Zulassungsverordnung</w:t>
      </w:r>
    </w:p>
    <w:p>
      <w:r>
        <w:rPr>
          <w:color w:val="555555"/>
          <w:sz w:val="18"/>
        </w:rPr>
        <w:t xml:space="preserve">Historische Fassung: Stand 08.11.2019 bis 01.09.2023. Dies ist nicht die aktuelle Fassung.</w:t>
      </w:r>
    </w:p>
    <w:p>
      <w:r>
        <w:t xml:space="preserve">(1) Die Zulassung von Fahrzeugen, einschließlich der Vornahme von Zulassungsänderungen und der Kennzeichenzuteilung für zulassungsfreie Fahrzeuge, sowie ihre Außerbetriebsetzung kann nach Maßgabe dieses Abschnittes internetbasiert durchgeführt werden (internetbasierte Zulassungsverfahren).</w:t>
      </w:r>
    </w:p>
    <w:p>
      <w:r>
        <w:t xml:space="preserve">(2) Das Kraftfahrt-Bundesamt und die Zulassungsbehörden haben bei internetbasierten Zulassungsverfahren, insbesondere bei der Erstellung, Speicherung und Übermittlung der Druckstücknummern und Sicherheitscodes von Stempelplaketten und der Zulassungsbescheinigung Teil I sowie des Sicherheitscodes der Zulassungsbescheinigung Teil II, dem jeweiligen Stand der Technik entsprechende und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erforderliche technische und organisatorische Maßnahmen zur Sicherstellung des Datenschutzes und der Datensicherheit zu treffen, die insbesondere die Vertraulichkeit und Unversehrtheit der Daten gewährleisten. Dies gilt auch bei der Nutzung öffentlich zugänglicher Netze, insbesondere hinsichtlich der Anwendung sicherer Verschlüsselungs- und Authentifizierungsverfahren. Die Sätze 1 und 2 gelten hinsichtlich der Erstellung, Speicherung und Übermittlung der Druckstücknummern und Sicherheitscodes von Stempelplaketten und der Zulassungsbescheinigung Teil I sowie des Sicherheitscodes der Zulassungsbescheinigung Teil II für hiermit von den in Satz 1 genannten Behörden beauftragte Einrichtungen entsprechend.</w:t>
      </w:r>
    </w:p>
    <w:p>
      <w:r>
        <w:t xml:space="preserve">(3) Soweit für internetbasierte Verfahren auf informationstechnische Systembestandteile zurückgegriffen wird, die einen Zugang zu den beim Kraftfahrt-Bundesamt gespeicherten Daten ermöglichen, sind die vom Kraftfahrt-Bundesamt festgelegten und im Bundesanzeiger sowie nachrichtlich im Verkehrsblatt veröffentlichten Standards</w:t>
      </w:r>
    </w:p>
    <w:p>
      <w:pPr>
        <w:ind w:left="420"/>
      </w:pPr>
      <w:r>
        <w:t xml:space="preserve">1. für die Datenübermittlung und</w:t>
      </w:r>
    </w:p>
    <w:p>
      <w:pPr>
        <w:ind w:left="420"/>
      </w:pPr>
      <w:r>
        <w:t xml:space="preserve">2. für die Mindestsicherheitsanforderungen an die beteiligten informationstechnischen Systeme</w:t>
      </w:r>
    </w:p>
    <w:p>
      <w:r>
        <w:t xml:space="preserve">einzuhalten. Protokolldaten sind durch geeignete Vorkehrungen gegen zweckfremde Verwendung sowie gegen sonstigen Missbrauch zu schützen und nach sechs Monaten automatisiert zu löschen. Ergibt sich in dieser Frist der Bedarf für eine längere Speicherung zum Zwecke der Datenschutzkontrolle oder Datensicherheit, hat die Löschung unverzüglich nach Fortfall dieses Bedarfs zu erfolgen.</w:t>
      </w:r>
    </w:p>
    <w:p>
      <w:r>
        <w:t xml:space="preserve">(4) Es wird vermutet, dass der Stand der Technik eingehalten ist, wenn die im Bundesanzeiger bekannt gemachten Technischen Richtlinien des Bundesamtes für Sicherheit in der Informationstechnik eingehalten werden.</w:t>
      </w:r>
    </w:p>
    <w:p>
      <w:r>
        <w:rPr>
          <w:color w:val="555555"/>
          <w:sz w:val="17"/>
        </w:rPr>
        <w:t xml:space="preserve">Zitiervorschlag: § 15a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