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FZV 2011 — Verwertungsnachweis</w:t>
      </w:r>
    </w:p>
    <w:p>
      <w:r>
        <w:rPr>
          <w:color w:val="555555"/>
          <w:sz w:val="18"/>
        </w:rPr>
        <w:t xml:space="preserve">Fahrzeug-Zulassungsverordnung</w:t>
      </w:r>
    </w:p>
    <w:p>
      <w:r>
        <w:rPr>
          <w:color w:val="555555"/>
          <w:sz w:val="18"/>
        </w:rPr>
        <w:t xml:space="preserve">Historische Fassung: Stand 10.06.2019 bis 01.09.2023. Dies ist nicht die aktuelle Fassung.</w:t>
      </w:r>
    </w:p>
    <w:p>
      <w:r>
        <w:t xml:space="preserve">(1) Ist ein Fahrzeug der Klasse M1, N1 oder L5e einer anerkannten Stelle nach § 4 Absatz 1 der Altfahrzeug-Verordnung zur Verwertung überlassen worden, hat der Halter oder Eigentümer dieses Fahrzeug unter Vorlage eines Verwertungsnachweises nach dem Muster in Anlage 8 zur Speicherung in den Fahrzeugregistern bei der Zulassungsbehörde außer Betrieb setzen zu lassen. Die Zulassungsbehörde überprüft die Richtigkeit und Vollständigkeit der Angaben zum Fahrzeug und zum Halter im Verwertungsnachweis und gibt diesen zurück.</w:t>
      </w:r>
    </w:p>
    <w:p>
      <w:r>
        <w:t xml:space="preserve">(2) Absatz 1 gilt entsprechend, wenn das Fahrzeug zur Entsorgung in einem anderen Mitgliedstaat der Europäischen Union oder einem anderen Vertragsstaat des Abkommens über den Europäischen Wirtschaftsraum verbleibt. In diesem Fall tritt an die Stelle des Verwertungsnachweises der nach Artikel 5 Absatz 3 und 5 der Richtlinie 2000/53/EG des Europäischen Parlaments und des Rates vom 18. September 2000 über Altfahrzeuge (ABl. L 269 vom 21.10.2000, S. 34) in Verbindung mit der Entscheidung der Kommission vom 19. Februar 2002 über Mindestanforderungen für den gemäß Artikel 5 Absatz 3 der Richtlinie 2000/53/EG des Europäischen Parlaments und des Rates über Altfahrzeuge ausgestellten Verwertungsnachweis (ABl. L 50 vom 21.2.2002, S. 94) ausgestellte Verwertungsnachweis.</w:t>
      </w:r>
    </w:p>
    <w:p>
      <w:r>
        <w:t xml:space="preserve">(3) Kommt der Halter oder Eigentümer seinen Verpflichtungen nach Absatz 1 oder 2 nicht nach, hat die Zulassungsbehörde die Zulassungsbescheinigung im Verkehrsblatt mit einer Frist von vier Wochen zur Vorlage bei ihr aufzubieten. Mit erfolglosem Ablauf des Aufgebots endet die Zulassung des Fahrzeugs. Die Zulassungsbehörde teilt das Ende der Zulassung dem bisherigen Halter oder Eigentümer mit.</w:t>
      </w:r>
    </w:p>
    <w:p>
      <w:r>
        <w:t xml:space="preserve">(4) Verbleibt ein Fahrzeug der Klasse M1, N1 oder L5e zur Entsorgung in einem Drittstaat, so hat der Halter oder Eigentümer des Fahrzeugs dies gegenüber der Zulassungsbehörde zu erklären und das Fahrzeug außer Betrieb setzen zu lassen.</w:t>
      </w:r>
    </w:p>
    <w:p>
      <w:r>
        <w:t xml:space="preserve">(5) Im Übrigen hat der Halter oder Eigentümer des Fahrzeugs gegenüber der Zulassungsbehörde bei einem Antrag auf Außerbetriebsetzung des Fahrzeugs zu erklären, dass das Fahrzeug nicht als Abfall zu entsorgen ist.</w:t>
      </w:r>
    </w:p>
    <w:p>
      <w:r>
        <w:t xml:space="preserve">(6) Eine Zulassung, Wiederzulassung oder Zuteilung eines Kennzeichens ist abzulehnen, wenn die Zulassungsbehörde Kenntnis davon hat, dass das Fahrzeug</w:t>
      </w:r>
    </w:p>
    <w:p>
      <w:pPr>
        <w:ind w:left="420"/>
      </w:pPr>
      <w:r>
        <w:t xml:space="preserve">1. einer anerkannten Stelle nach § 4 Absatz 1 der Altfahrzeug-Verordnung zur Verwertung überlassen oder</w:t>
      </w:r>
    </w:p>
    <w:p>
      <w:pPr>
        <w:ind w:left="420"/>
      </w:pPr>
      <w:r>
        <w:t xml:space="preserve">2. in einem anderen Mitgliedstaat der Europäischen Union oder in einem anderen Vertragsstaat des Abkommens über den Europäischen Wirtschaftsraum als Altfahrzeug gemäß der Richtlinie 2000/53/EG behandelt</w:t>
      </w:r>
    </w:p>
    <w:p>
      <w:r>
        <w:t xml:space="preserve">wurde.</w:t>
      </w:r>
    </w:p>
    <w:p>
      <w:r>
        <w:rPr>
          <w:color w:val="555555"/>
          <w:sz w:val="17"/>
        </w:rPr>
        <w:t xml:space="preserve">Zitiervorschlag: § 15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