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FZV 2011 — Mitteilungspflichten bei Änderungen</w:t>
      </w:r>
    </w:p>
    <w:p>
      <w:r>
        <w:rPr>
          <w:color w:val="555555"/>
          <w:sz w:val="18"/>
        </w:rPr>
        <w:t xml:space="preserve">Fahrzeug-Zulassungsverordnung</w:t>
      </w:r>
    </w:p>
    <w:p>
      <w:r>
        <w:rPr>
          <w:color w:val="555555"/>
          <w:sz w:val="18"/>
        </w:rPr>
        <w:t xml:space="preserve">Historische Fassung: Stand 02.10.2019 bis 01.09.2023. Dies ist nicht die aktuelle Fassung.</w:t>
      </w:r>
    </w:p>
    <w:p>
      <w:r>
        <w:t xml:space="preserve">(1) Folgende Änderungen von Fahrzeug- oder Halterdaten sind der Zulassungsbehörde zum Zwecke der Änderung der Fahrzeugregister und der Zulassungsbescheinigung unter Vorlage der Zulassungsbescheinigung Teil I, des Anhängerverzeichnisses und bei Änderungen nach Nummer 1 bis 3 auch der Zulassungsbescheinigung Teil II unverzüglich mitzuteilen:</w:t>
      </w:r>
    </w:p>
    <w:p>
      <w:pPr>
        <w:ind w:left="420"/>
      </w:pPr>
      <w:r>
        <w:t xml:space="preserve">1. Änderungen von Angaben zum Halter, wobei bei alleiniger Änderung der Anschrift die Zulassungsbescheinigung Teil II nicht vorzulegen ist,</w:t>
      </w:r>
    </w:p>
    <w:p>
      <w:pPr>
        <w:ind w:left="420"/>
      </w:pPr>
      <w:r>
        <w:t xml:space="preserve">2. Änderung der Fahrzeugklasse nach Anlage XXIX der Straßenverkehrs-Zulassungs-Ordnung,</w:t>
      </w:r>
    </w:p>
    <w:p>
      <w:pPr>
        <w:ind w:left="420"/>
      </w:pPr>
      <w:r>
        <w:t xml:space="preserve">3. Änderung von Hubraum, Nennleistung, Kraftstoffart oder Energiequelle,</w:t>
      </w:r>
    </w:p>
    <w:p>
      <w:pPr>
        <w:ind w:left="420"/>
      </w:pPr>
      <w:r>
        <w:t xml:space="preserve">4. Erhöhung der bauartbedingten Höchstgeschwindigkeit,</w:t>
      </w:r>
    </w:p>
    <w:p>
      <w:pPr>
        <w:ind w:left="420"/>
      </w:pPr>
      <w:r>
        <w:t xml:space="preserve">5. Verringerung der bauartbedingten Höchstgeschwindigkeit, wenn diese fahrerlaubnisrelevant oder zulassungsrelevant ist,</w:t>
      </w:r>
    </w:p>
    <w:p>
      <w:pPr>
        <w:ind w:left="420"/>
      </w:pPr>
      <w:r>
        <w:t xml:space="preserve">6. Änderung der zulässigen Achslasten, der Gesamtmasse, der Stützlast oder der Anhängelast,</w:t>
      </w:r>
    </w:p>
    <w:p>
      <w:pPr>
        <w:ind w:left="420"/>
      </w:pPr>
      <w:r>
        <w:t xml:space="preserve">7. Erhöhung der Fahrzeugabmessungen, ausgenommen bei Personenkraftwagen und Krafträdern,</w:t>
      </w:r>
    </w:p>
    <w:p>
      <w:pPr>
        <w:ind w:left="420"/>
      </w:pPr>
      <w:r>
        <w:t xml:space="preserve">8. Änderung der Sitz- oder Stehplatzzahl bei Kraftomnibussen,</w:t>
      </w:r>
    </w:p>
    <w:p>
      <w:pPr>
        <w:ind w:left="420"/>
      </w:pPr>
      <w:r>
        <w:t xml:space="preserve">9. Änderungen der Abgas- oder Geräuschwerte, sofern sie sich auf die Kraftfahrzeugsteuer oder Verkehrsbeschränkungen auswirken,</w:t>
      </w:r>
    </w:p>
    <w:p>
      <w:pPr>
        <w:ind w:left="420"/>
      </w:pPr>
      <w:r>
        <w:t xml:space="preserve">10. Änderungen, die eine Ausnahmegenehmigung nach § 47 erfordern, und</w:t>
      </w:r>
    </w:p>
    <w:p>
      <w:pPr>
        <w:ind w:left="420"/>
      </w:pPr>
      <w:r>
        <w:t xml:space="preserve">11. Änderungen, deren unverzügliche Eintragung in die Zulassungsbescheinigung auf Grund eines Vermerks im Sinne des § 19 Absatz 4 Satz 2 der Straßenverkehrs-Zulassungs-Ordnung erforderlich ist.</w:t>
      </w:r>
    </w:p>
    <w:p>
      <w:r>
        <w:t xml:space="preserve">Andere Änderungen von Fahrzeug- oder Halterdaten sind der Zulassungsbehörde bei deren nächster Befassung mit der Zulassungsbescheinigung mitzuteilen. Verpflichtet zur Mitteilung ist der Halter und, wenn er nicht zugleich der Eigentümer ist, auch dieser. Die Verpflichtung besteht, bis der Behörde durch einen der Verpflichteten die Änderungen mitgeteilt worden sind. Kommen die nach Satz 3 Verpflichteten ihrer Mitteilungspflicht nicht nach, kann die Zulassungsbehörde für die Zeit bis zur Erfüllung der Verpflichtung den Betrieb des Fahrzeugs auf öffentlichen Straßen untersagen. Der Halter darf die Inbetriebnahme eines Fahrzeugs, dessen Betrieb nach Satz 5 untersagt wurde, nicht anordnen oder zulassen.</w:t>
      </w:r>
    </w:p>
    <w:p>
      <w:r>
        <w:t xml:space="preserve">(1a) Der Mitteilungspflicht nach Absatz 1 Satz 1 Nummer 1 wird auch genügt, wenn diese Änderungen über eine Meldebehörde mitgeteilt werden, sofern bei der Meldebehörde ein solches Verfahren eröffnet ist.</w:t>
      </w:r>
    </w:p>
    <w:p>
      <w:r>
        <w:t xml:space="preserve">(2) Wer einen Personenkraftwagen verwendet</w:t>
      </w:r>
    </w:p>
    <w:p>
      <w:pPr>
        <w:ind w:left="420"/>
      </w:pPr>
      <w:r>
        <w:t xml:space="preserve">1. für eine Personenbeförderung, die dem Personenbeförderungsgesetz unterliegt,</w:t>
      </w:r>
    </w:p>
    <w:p>
      <w:pPr>
        <w:ind w:left="420"/>
      </w:pPr>
      <w:r>
        <w:t xml:space="preserve">2. für eine Beförderung durch oder für Kindergartenträger zwischen Wohnung und Kindergarten oder durch oder für Schulträger zum und vom Unterricht oder</w:t>
      </w:r>
    </w:p>
    <w:p>
      <w:pPr>
        <w:ind w:left="420"/>
      </w:pPr>
      <w:r>
        <w:t xml:space="preserve">3. für eine Beförderung von behinderten Menschen zu und von ihrer Betreuung dienenden Einrichtungen</w:t>
      </w:r>
    </w:p>
    <w:p>
      <w:r>
        <w:t xml:space="preserve">hat dies vor Beginn und nach Beendigung der Verwendung der zuständigen Zulassungsbehörde unverzüglich schriftlich oder elektronisch anzuzeigen. Wer ein Fahrzeug ohne Gestellung eines Fahrers gewerbsmäßig vermietet (Mietfahrzeug für Selbstfahrer), hat dies nach Beginn des Gewerbebetriebs der zuständigen Zulassungsbehörde unverzüglich schriftlich oder elektronisch anzuzeigen, wenn nicht das Fahrzeug für den Mieter zugelassen wird. Zur Eintragung der Verwendung des Fahrzeugs im Sinne des Satzes 1 oder des Satzes 2 ist der Zulassungsbehörde unverzüglich die Zulassungsbescheinigung Teil I vorzulegen.</w:t>
      </w:r>
    </w:p>
    <w:p>
      <w:r>
        <w:t xml:space="preserve">(3) Verlegt der Halter seinen Wohnsitz oder Sitz in einen anderen Zulassungsbezirk, hat er unverzüglich</w:t>
      </w:r>
    </w:p>
    <w:p>
      <w:pPr>
        <w:ind w:left="420"/>
      </w:pPr>
      <w:r>
        <w:t xml:space="preserve">1. bei der für den neuen Wohnsitz oder Sitz zuständigen Zulassungsbehörde die Zuteilung eines neuen Kennzeichens, einer neuen Zulassungsbescheinigung Teil I und die Änderung der Angaben in der Zulassungsbescheinigung Teil II zu beantragen oder</w:t>
      </w:r>
    </w:p>
    <w:p>
      <w:pPr>
        <w:ind w:left="420"/>
      </w:pPr>
      <w:r>
        <w:t xml:space="preserve">2. der für den neuen Wohnsitz oder Sitz zuständigen Zulassungsbehörde mitzuteilen, dass das bisherige Kennzeichen weitergeführt werden soll, und die Zulassungsbescheinigung Teil I zur Änderung vorzulegen.</w:t>
      </w:r>
    </w:p>
    <w:p>
      <w:r>
        <w:t xml:space="preserve">Kommt er diesen Pflichten nicht nach, kann die Zulassungsbehörde für die Zeit bis zur Erfüllung der Pflichten den Betrieb des Fahrzeugs auf öffentlichen Straßen untersagen. Der Halter darf die Inbetriebnahme eines Fahrzeugs, dessen Betrieb nach Satz 2 untersagt ist, nicht anordnen oder zulassen. Im Falle des Satzes 1 Nummer 1 teilt die für den neuen Wohnsitz oder Sitz zuständige Zulassungsbehörde nach Vorlage der Zulassungsbescheinigung und der bisherigen Kennzeichen zur Entstempelung dem Fahrzeug ein neues Kennzeichen zu. Im Falle des Satzes 1 Nummer 2 ändert die für den neuen Wohnsitz oder Sitz zuständige Zulassungsbehörde die Zulassungsbescheinigung Teil I. Absatz 1 Satz 1 Nummer 1 bleibt unberührt.</w:t>
      </w:r>
    </w:p>
    <w:p>
      <w:r>
        <w:t xml:space="preserve">(4) Tritt ein Wechsel in der Person des Halters ein, hat der bisherige Halter oder Eigentümer dies unverzüglich der Zulassungsbehörde zum Zweck der Änderung der Fahrzeugregister mitzuteilen; die Mitteilung ist entbehrlich, wenn der Erwerber seinen Pflichten nach Satz 3 bereits nachgekommen ist. Die Mitteilung muss das Kennzeichen des Fahrzeugs, Namen, Vornamen und vollständige Anschrift des Erwerbers sowie dessen Bestätigung, dass die Zulassungsbescheinigung übergeben wurde, enthalten. Der Erwerber hat unverzüglich nach Halterwechsel der für seinen Wohnsitz oder Sitz zuständigen Zulassungsbehörde die neuen Halterdaten nach § 33 Absatz 1 Satz 1 Nummer 2 und Absatz 2 des Straßenverkehrsgesetzes und die Fahrzeugdaten nach § 6 Absatz 4 mitzuteilen und auf Verlangen nachzuweisen, unter Vorlage des Versicherungsnachweises nach § 23 die Ausfertigung einer neuen Zulassungsbescheinigung Teil I zu beantragen und die Zulassungsbescheinigung Teil II zur Änderung vorzulegen (Umschreibung). Sofern dem Fahrzeug bisher ein Kennzeichen einer anderen Zulassungsbehörde zugeteilt war, hat der Erwerber unverzüglich nach Halterwechsel die Zuteilung eines neuen Kennzeichens zu beantragen oder mitzuteilen, dass das bisherige Kennzeichen weitergeführt werden soll. Kommt der bisherige Halter oder Eigentümer seiner Mitteilungspflicht nach Satz 1 nicht nach oder wird das Fahrzeug nicht unverzüglich umgemeldet oder außer Betrieb gesetzt oder erweisen sich die mitgeteilten Daten des neuen Halters oder Eigentümers als nicht zutreffend, kann die Zulassungsbehörde die Zulassungsbescheinigung im Verkehrsblatt mit einer Frist von vier Wochen zur Vorlage bei ihr aufbieten. Mit erfolglosem Ablauf des Aufgebots endet die Zulassung des Fahrzeugs. Die Zulassungsbehörde teilt das Ende der Zulassung dem bisherigen Halter oder Eigentümer mit. Abweichend von Satz 5 kann die Zulassungsbehörde auch eine Anordnung nach Absatz 1 Satz 5 erlassen. Im Falle einer Anordnung nach Satz 8 gilt Absatz 1 Satz 6 entsprechend.</w:t>
      </w:r>
    </w:p>
    <w:p>
      <w:r>
        <w:t xml:space="preserve">(5) Die Absätze 1, 3 und 4 gelten nicht für außer Betrieb gesetzte Fahrzeuge.</w:t>
      </w:r>
    </w:p>
    <w:p>
      <w:r>
        <w:t xml:space="preserve">(6) Wird ein zugelassenes Fahrzeug im Ausland erneut zugelassen und erhält die zuständige Zulassungsbehörde durch das Kraftfahrt-Bundesamt hierüber eine Mitteilung, ist das Fahrzeug durch die Zulassungsbehörde außer Betrieb zu setzen. Die Mitteilung erfolgt in elektronischer Form nach den vom Kraftfahrt-Bundesamt herausgegebenen und im Verkehrsblatt veröffentlichten Standards.</w:t>
      </w:r>
    </w:p>
    <w:p>
      <w:r>
        <w:rPr>
          <w:color w:val="555555"/>
          <w:sz w:val="17"/>
        </w:rPr>
        <w:t xml:space="preserve">Zitiervorschlag: § 13 FZV 2011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https://recht.nulegal.eu/gesetze/FZV%202011/13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