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FZV 2011 — Zulassungsbescheinigung Teil II</w:t>
      </w:r>
    </w:p>
    <w:p>
      <w:r>
        <w:rPr>
          <w:color w:val="555555"/>
          <w:sz w:val="18"/>
        </w:rPr>
        <w:t xml:space="preserve">Fahrzeug-Zulassungsverordnung</w:t>
      </w:r>
    </w:p>
    <w:p>
      <w:r>
        <w:rPr>
          <w:color w:val="555555"/>
          <w:sz w:val="18"/>
        </w:rPr>
        <w:t xml:space="preserve">Historische Fassung: Stand 02.10.2019 bis 01.09.2023. Dies ist nicht die aktuelle Fassung.</w:t>
      </w:r>
    </w:p>
    <w:p>
      <w:r>
        <w:t xml:space="preserve">(1) Mit dem Antrag auf Ausfertigung einer Zulassungsbescheinigung Teil II ist der Zulassungsbehörde die Verfügungsberechtigung über das Fahrzeug nachzuweisen. In begründeten Einzelfällen kann die Zulassungsbehörde beim Kraftfahrt-Bundesamt anfragen, ob das Fahrzeug im Zentralen Fahrzeugregister eingetragen, ein Suchvermerk vorhanden oder ob bereits eine Zulassungsbescheinigung Teil II ausgegeben worden ist. Die Sätze 1 und 2 sind auch anzuwenden, wenn die Ausfüllung eines Vordrucks der Zulassungsbescheinigung Teil II beantragt wird, ohne dass das Fahrzeug zugelassen werden soll. Für Fahrzeuge, die im Ausland zugelassen sind oder waren, ist das Ausfüllen eines Vordrucks einer Zulassungsbescheinigung Teil II nur im Zusammenhang mit der Zulassung des Fahrzeugs zulässig.</w:t>
      </w:r>
    </w:p>
    <w:p>
      <w:r>
        <w:t xml:space="preserve">(2) Die Zulassungsbescheinigung Teil II wird nach den Vorgaben der Anlage 7 ausgefertigt. Sie ist mit einer sichtbaren Markierung versehen; neben der sichtbaren Markierung befindet sich der Hinweis „Nur zur Nutzung des Sicherheitscodes im internetbasierten Zulassungsverfahren freilegen. Dokument nur unbeschädigt gültig“. Mit der sichtbaren Markierung werden die darunterliegende Markierung mit der Aufschrift „Dokument nicht mehr gültig“ und ein Sicherheitscode der Zulassungsbescheinigung Teil II verdeckt.</w:t>
      </w:r>
    </w:p>
    <w:p>
      <w:r>
        <w:t xml:space="preserve">(3) Die Ausfüllung einer Zulassungsbescheinigung Teil II oder deren erstmalige Ausfertigung durch die Zulassungsbehörde ist nur zulässig bei Vorlage</w:t>
      </w:r>
    </w:p>
    <w:p>
      <w:pPr>
        <w:ind w:left="420"/>
      </w:pPr>
      <w:r>
        <w:t xml:space="preserve">1. der Übereinstimmungsbescheinigung,</w:t>
      </w:r>
    </w:p>
    <w:p>
      <w:pPr>
        <w:ind w:left="420"/>
      </w:pPr>
      <w:r>
        <w:t xml:space="preserve">2. der Datenbestätigung oder</w:t>
      </w:r>
    </w:p>
    <w:p>
      <w:pPr>
        <w:ind w:left="420"/>
      </w:pPr>
      <w:r>
        <w:t xml:space="preserve">3. der Bescheinigung über die Einzelgenehmigung des Fahrzeugs.</w:t>
      </w:r>
    </w:p>
    <w:p>
      <w:r>
        <w:t xml:space="preserve">Der Vorlage der Übereinstimmungsbescheinigung steht es gleich, wenn ihre Daten von der Zulassungsbehörde unter Angabe der Fahrzeug-Identifizierungsnummer aus einer in § 6 Absatz 3 Satz 2 genannten Datenbank abgerufen worden sind. Wurden die Angaben über die Beschaffenheit des Fahrzeugs und über dessen Übereinstimmung mit dem genehmigten Typ noch nicht durch den Hersteller eingetragen, hat die Zulassungsbehörde diese Eintragungen vorzunehmen. Für eine maschinelle Ausfüllung gilt § 11 Absatz 3 entsprechend. Die Zulassungsbehörde vermerkt die Ausfertigung der Zulassungsbescheinigung Teil II unter Angabe der betreffenden Nummer auf der Übereinstimmungsbescheinigung, wenn diese vorgelegt wurde, oder der Datenbestätigung.</w:t>
      </w:r>
    </w:p>
    <w:p>
      <w:r>
        <w:t xml:space="preserve">(4) Die Vordrucke der Zulassungsbescheinigung Teil II werden vom Kraftfahrt-Bundesamt</w:t>
      </w:r>
    </w:p>
    <w:p>
      <w:pPr>
        <w:ind w:left="420"/>
      </w:pPr>
      <w:r>
        <w:t xml:space="preserve">1. auf Antrag an die Zulassungsbehörden oder</w:t>
      </w:r>
    </w:p>
    <w:p>
      <w:pPr>
        <w:ind w:left="420"/>
      </w:pPr>
      <w:r>
        <w:t xml:space="preserve">2. auf schriftlichen Antrag zum Zwecke der Ausfüllung an</w:t>
      </w:r>
    </w:p>
    <w:p>
      <w:pPr>
        <w:ind w:left="780"/>
      </w:pPr>
      <w:r>
        <w:t xml:space="preserve">a) die Inhaber einer EG-Typgenehmigung für Fahrzeuge,</w:t>
      </w:r>
    </w:p>
    <w:p>
      <w:pPr>
        <w:ind w:left="780"/>
      </w:pPr>
      <w:r>
        <w:t xml:space="preserve">b) die Inhaber einer nationalen Typgenehmigung für Fahrzeuge oder</w:t>
      </w:r>
    </w:p>
    <w:p>
      <w:pPr>
        <w:ind w:left="780"/>
      </w:pPr>
      <w:r>
        <w:t xml:space="preserve">c) die von den Personen nach Nummer 1 oder 2 bevollmächtigten Vertreter</w:t>
      </w:r>
    </w:p>
    <w:p>
      <w:r>
        <w:t xml:space="preserve">ausgegeben.</w:t>
      </w:r>
    </w:p>
    <w:p>
      <w:r>
        <w:t xml:space="preserve">(5) Der Verlust eines Vordrucks der Zulassungsbescheinigung Teil II ist vom jeweiligen Empfänger dem Kraftfahrt-Bundesamt anzuzeigen. Der Verlust einer ausgefertigten Zulassungsbescheinigung Teil II ist der zuständigen Zulassungsbehörde anzuzeigen, die das Kraftfahrt-Bundesamt hiervon unterrichtet. Das Kraftfahrt-Bundesamt bietet die in Verlust geratene Bescheinigung auf Antrag im Verkehrsblatt mit einer Frist zur Vorlage bei der Zulassungsbehörde auf. Eine neue Zulassungsbescheinigung Teil II darf erst nach Ablauf der Frist ausgefertigt werden. Wird die in Verlust geratene Zulassungsbescheinigung Teil II wieder aufgefunden, ist diese unverzüglich bei der Zulassungsbehörde abzuliefern. Absatz 7 Satz 2 ist entsprechend anzuwenden.</w:t>
      </w:r>
    </w:p>
    <w:p>
      <w:r>
        <w:t xml:space="preserve">(6) Sind in einer Zulassungsbescheinigung Teil II die für die Eintragungen der Zulassung bestimmten Felder ausgefüllt oder ist diese beschädigt, ist eine neue Bescheinigung auszustellen. Eine neue Bescheinigung ist ferner auf Antrag stets dann auszustellen, wenn sich die Angaben des Halters geändert haben und diese Angaben ganz oder teilweise einem gesetzlichen Offenbarungsverbot unterliegen. Die das Offenbarungsverbot begründenden Tatsachen sind auf Verlangen nachzuweisen. Die Zulassungsbehörde hat die alte Bescheinigung zu entwerten und sie unter Eintragung der Nummer der neuen Bescheinigung dem Antragsteller zurückzugeben.</w:t>
      </w:r>
    </w:p>
    <w:p>
      <w:r>
        <w:t xml:space="preserve">(7) Die Zulassungsbehörde entscheidet keine privatrechtlichen Sachverhalte. Zur Vorlage der Zulassungsbescheinigung Teil II ist neben dem Halter und dem Eigentümer bei Aufforderung durch die Zulassungsbehörde jeder verpflichtet, in dessen Gewahrsam sich die Bescheinigung befindet. Die Zulassungsbehörde hat demjenigen, der ihr die Zulassungsbescheinigung Teil II vorgelegt hat oder der von ihm bestimmten Stelle oder Person, diese wieder auszuhändigen.</w:t>
      </w:r>
    </w:p>
    <w:p>
      <w:r>
        <w:rPr>
          <w:color w:val="555555"/>
          <w:sz w:val="17"/>
        </w:rPr>
        <w:t xml:space="preserve">Zitiervorschlag: § 12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