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FZAusnV 2</w:t>
      </w:r>
    </w:p>
    <w:p>
      <w:r>
        <w:rPr>
          <w:color w:val="555555"/>
          <w:sz w:val="18"/>
        </w:rPr>
        <w:t xml:space="preserve">2. FZV-Ausnahmeverordnung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des § 6 Absatz 1 Satz 1 Nummer 18 in Verbindung mit Absatz 3 Nummer 1, 2 und 6, sowie mit Absatz 7 Satz 1 Nummer 2 und Satz 2 des Straßenverkehrsgesetzes, von denen Absatz 1 Satz 1 einleitender Satzteil zuletzt durch Artikel 1 Nummer 1 Buchstabe a Doppelbuchstabe aa des Gesetzes vom 12. Juli 2024 (BGBl. 2024 I Nr. 233) geändert worden ist, verordnet das Bundesministerium für Digitales und Verkehr nach Anhörung der zuständigen obersten Landesbehörden:</w:t>
      </w:r>
    </w:p>
    <w:p>
      <w:r>
        <w:rPr>
          <w:color w:val="555555"/>
          <w:sz w:val="17"/>
        </w:rPr>
        <w:t xml:space="preserve">Zitiervorschlag: Eingangsformel FZAusnV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https://recht.nulegal.eu/gesetze/FZAusnV%202/eingangsformel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