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FVwZuVO (Sachsen) — Bezeichnung, Sitz, Bezirk und Zuständigkeit der Finanzämter</w:t>
      </w:r>
    </w:p>
    <w:p>
      <w:r>
        <w:rPr>
          <w:color w:val="555555"/>
          <w:sz w:val="18"/>
        </w:rPr>
        <w:t xml:space="preserve">Finanzverwaltungszuständigkeits­verordnung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Bezeichnung, Sitz, Bezirk und Zuständigkeit der Finanzämter ergeben sich aus der Anlage.</w:t>
      </w:r>
    </w:p>
    <w:p>
      <w:r>
        <w:t xml:space="preserve">(2) Die Finanzämter sind in ihrem Bezirk für die Verwaltung der Steuern und die ihnen sonst übertragenen Aufgaben zuständig. Abweichend von Satz 1 werden einzelnen Finanzämtern nach Maßgabe der Anlage Zuständigkeiten für die Bezirke mehrerer Finanzämter übertragen.</w:t>
      </w:r>
    </w:p>
    <w:p>
      <w:r>
        <w:t xml:space="preserve">(3) Die Finanzämter können in ihrem Besitz befindliche unanbringbare Sachen im Internet über die Plattform www.zoll-auktion.de versteigern.</w:t>
      </w:r>
    </w:p>
    <w:p>
      <w:r>
        <w:rPr>
          <w:color w:val="555555"/>
          <w:sz w:val="17"/>
        </w:rPr>
        <w:t xml:space="preserve">Zitiervorschlag: § 1 FVwZuVO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https://recht.nulegal.eu/gesetze/FVwZuVO/1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