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FVerlV 2022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Auf Grund des § 1 Absatz 6 des Außensteuergesetzes vom 8. September 1972 (BGBl. I S. 1713), der durch Artikel 5 Nummer 1 Buchstabe c des Gesetzes vom 2. Juni 2021 (BGBl. I S. 1259)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FVerlV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