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FVerlV 2022 — Anwendungsvorschrift</w:t>
      </w:r>
    </w:p>
    <w:p>
      <w:r>
        <w:rPr>
          <w:color w:val="555555"/>
          <w:sz w:val="18"/>
        </w:rPr>
        <w:t xml:space="preserve">Funktionsverlagerungsverordnung</w:t>
      </w:r>
    </w:p>
    <w:p>
      <w:r>
        <w:rPr>
          <w:color w:val="555555"/>
          <w:sz w:val="18"/>
        </w:rPr>
        <w:t xml:space="preserve">Stand: 26.10.2022 (konsolidierte Textfassung, kein amtliches Inkrafttretensdatum)</w:t>
      </w:r>
    </w:p>
    <w:p>
      <w:r>
        <w:t xml:space="preserve">Diese Verordnung ist erstmals für Veranlagungszeiträume anzuwenden, die nach dem 31. Dezember 2021 beginnen.</w:t>
      </w:r>
    </w:p>
    <w:p>
      <w:r>
        <w:rPr>
          <w:color w:val="555555"/>
          <w:sz w:val="17"/>
        </w:rPr>
        <w:t xml:space="preserve">Zitiervorschlag: § 9 FVerlV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https://recht.nulegal.eu/gesetze/FVerlV%202022/9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