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FVerlV 2022 — Anwendung auf Betriebsstättenfälle</w:t>
      </w:r>
    </w:p>
    <w:p>
      <w:r>
        <w:rPr>
          <w:color w:val="555555"/>
          <w:sz w:val="18"/>
        </w:rPr>
        <w:t xml:space="preserve">Funktionsverlagerungsverordnung</w:t>
      </w:r>
    </w:p>
    <w:p>
      <w:r>
        <w:rPr>
          <w:color w:val="555555"/>
          <w:sz w:val="18"/>
        </w:rPr>
        <w:t xml:space="preserve">Stand: 26.10.2022 (konsolidierte Textfassung, kein amtliches Inkrafttretensdatum)</w:t>
      </w:r>
    </w:p>
    <w:p>
      <w:r>
        <w:t xml:space="preserve">Die Vorschriften dieser Verordnung sind entsprechend anzuwenden, soweit nach § 1 Absatz 5 des Gesetzes § 1 Absatz 3b des Gesetzes auf eine Geschäftsbeziehung im Sinne des § 1 Absatz 4 Satz 1 Nummer 2 des Gesetzes anzuwenden ist.</w:t>
      </w:r>
    </w:p>
    <w:p>
      <w:r>
        <w:rPr>
          <w:color w:val="555555"/>
          <w:sz w:val="17"/>
        </w:rPr>
        <w:t xml:space="preserve">Zitiervorschlag: § 8 FVerlV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https://recht.nulegal.eu/gesetze/FVerlV%202022/8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