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FVerlV 2022 — Kapitalisierungszeitraum</w:t>
      </w:r>
    </w:p>
    <w:p>
      <w:r>
        <w:rPr>
          <w:color w:val="555555"/>
          <w:sz w:val="18"/>
        </w:rPr>
        <w:t xml:space="preserve">Funktionsverlagerungsverordnung</w:t>
      </w:r>
    </w:p>
    <w:p>
      <w:r>
        <w:rPr>
          <w:color w:val="555555"/>
          <w:sz w:val="18"/>
        </w:rPr>
        <w:t xml:space="preserve">Stand: 26.10.2022 (konsolidierte Textfassung, kein amtliches Inkrafttretensdatum)</w:t>
      </w:r>
    </w:p>
    <w:p>
      <w:r>
        <w:t xml:space="preserve">Werden keine Gründe für einen bestimmten, von den Umständen der Funktionsausübung abhängigen Kapitalisierungszeitraum nachgewiesen, ist ein unbegrenzter Kapitalisierungszeitraum zu Grunde zu legen.</w:t>
      </w:r>
    </w:p>
    <w:p>
      <w:r>
        <w:rPr>
          <w:color w:val="555555"/>
          <w:sz w:val="17"/>
        </w:rPr>
        <w:t xml:space="preserve">Zitiervorschlag: § 5 FVerlV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https://recht.nulegal.eu/gesetze/FVerlV%202022/5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