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FVerlV 2022 — Kapitalisierungszinssatz</w:t>
      </w:r>
    </w:p>
    <w:p>
      <w:r>
        <w:rPr>
          <w:color w:val="555555"/>
          <w:sz w:val="18"/>
        </w:rPr>
        <w:t xml:space="preserve">Funktionsverlagerungsverordnung</w:t>
      </w:r>
    </w:p>
    <w:p>
      <w:r>
        <w:rPr>
          <w:color w:val="555555"/>
          <w:sz w:val="18"/>
        </w:rPr>
        <w:t xml:space="preserve">Stand: 26.10.2022 (konsolidierte Textfassung, kein amtliches Inkrafttretensdatum)</w:t>
      </w:r>
    </w:p>
    <w:p>
      <w:r>
        <w:t xml:space="preserve">Zur Bestimmung des jeweils angemessenen Kapitalisierungszinssatzes ist, unter Berücksichtigung der Äquivalenzprinzipien, vom Zins für eine risikolose Investition auszugehen, auf den ein vom Kapitalmarkt abgeleiteter risikoadäquater Zuschlag vorzunehmen ist. Die Laufzeit der vergleichbaren risikolosen Investition richtet sich danach, wie lange die übernommene Funktion voraussichtlich ausgeübt wird. Der Zuschlag ist so zu bemessen, dass er sowohl für das übernehmende als auch für das verlagernde Unternehmen die in vergleichbaren Fällen zwischen fremden Dritten jeweils zur Risikobeurteilung relevanten Umstände berücksichtigt.</w:t>
      </w:r>
    </w:p>
    <w:p>
      <w:r>
        <w:rPr>
          <w:color w:val="555555"/>
          <w:sz w:val="17"/>
        </w:rPr>
        <w:t xml:space="preserve">Zitiervorschlag: § 4 FVerlV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https://recht.nulegal.eu/gesetze/FVerlV%202022/4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