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FVerlV 2022 — Bestandteile des Transferpakets</w:t>
      </w:r>
    </w:p>
    <w:p>
      <w:r>
        <w:rPr>
          <w:color w:val="555555"/>
          <w:sz w:val="18"/>
        </w:rPr>
        <w:t xml:space="preserve">Funktionsverlagerungsverordnung</w:t>
      </w:r>
    </w:p>
    <w:p>
      <w:r>
        <w:rPr>
          <w:color w:val="555555"/>
          <w:sz w:val="18"/>
        </w:rPr>
        <w:t xml:space="preserve">Stand: 26.10.2022 (konsolidierte Textfassung, kein amtliches Inkrafttretensdatum)</w:t>
      </w:r>
    </w:p>
    <w:p>
      <w:r>
        <w:t xml:space="preserve">(1) Werden für einzelne Teile des Transferpakets unterschiedliche Vereinbarungen getroffen oder sind solche Vereinbarungen dem Fremdvergleichsgrundsatz entsprechend anzunehmen, sind für alle Teile des Transferpakets Fremdvergleichspreise anzusetzen, die insgesamt dem nach § 2 bestimmten Wert des Transferpakets als Ganzem entsprechen.</w:t>
      </w:r>
    </w:p>
    <w:p>
      <w:r>
        <w:t xml:space="preserve">(2) In den Fällen des § 1 Absatz 2 Satz 3, des § 1 Absatz 4 oder des § 1 Absatz 5 Satz 2, sind die Verrechnungspreise für die Geschäftsvorfälle, die dazu geführt haben, dass eine Funktionsverlagerung vorliegt, dem Fremdvergleichsgrundsatz entsprechend so anzusetzen, dass sie zusammen mit den ursprünglich bestimmten Verrechnungspreisen dem nach § 2 bestimmten Wert des Transferpakets als Ganzem entsprechen.</w:t>
      </w:r>
    </w:p>
    <w:p>
      <w:r>
        <w:rPr>
          <w:color w:val="555555"/>
          <w:sz w:val="17"/>
        </w:rPr>
        <w:t xml:space="preserve">Zitiervorschlag: § 3 FVerlV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https://recht.nulegal.eu/gesetze/FVerlV%202022/3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