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FVerlV 2022 — Wert des Transferpakets</w:t>
      </w:r>
    </w:p>
    <w:p>
      <w:r>
        <w:rPr>
          <w:color w:val="555555"/>
          <w:sz w:val="18"/>
        </w:rPr>
        <w:t xml:space="preserve">Funktionsverlagerungsverordnung</w:t>
      </w:r>
    </w:p>
    <w:p>
      <w:r>
        <w:rPr>
          <w:color w:val="555555"/>
          <w:sz w:val="18"/>
        </w:rPr>
        <w:t xml:space="preserve">Stand: 26.10.2022 (konsolidierte Textfassung, kein amtliches Inkrafttretensdatum)</w:t>
      </w:r>
    </w:p>
    <w:p>
      <w:r>
        <w:t xml:space="preserve">Der Einigungsbereich (§ 6) ist unter Berücksichtigung aller Umstände des Einzelfalls auf der Grundlage einer Funktions- und Risikoanalyse vor und nach der Funktionsverlagerung zu ermitteln, wobei neben tatsächlich bestehenden Handlungsalternativen auch Standortvorteile oder -nachteile, Synergieeffekte sowie Steuereffekte zu berücksichtigen sind. Ausgangspunkt für die Berechnungen sind die Unterlagen, die Grundlage für die Unternehmensentscheidung waren, eine Funktionsverlagerung durchzuführen. Für die Berechnung des Einigungsbereichs ist eine kapitalwertorientierte Bewertungsmethode zu verwenden. Hierfür sind die dem Maßstab des § 1 Absatz 1 Satz 3 des Gesetzes entsprechenden Erwartungen der finanziellen Überschüsse der beteiligten Unternehmen, angemessene Kapitalisierungszinssätze (§ 4) und ein von den Umständen der Funktionsausübung abhängiger Kapitalisierungszeitraum (§ 5) zu Grunde zu legen.</w:t>
      </w:r>
    </w:p>
    <w:p>
      <w:r>
        <w:rPr>
          <w:color w:val="555555"/>
          <w:sz w:val="17"/>
        </w:rPr>
        <w:t xml:space="preserve">Zitiervorschlag: § 2 FVerlV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https://recht.nulegal.eu/gesetze/FVerlV%202022/2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