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FVerlV 2022 — Inkrafttreten, Außerkrafttreten</w:t>
      </w:r>
    </w:p>
    <w:p>
      <w:r>
        <w:rPr>
          <w:color w:val="555555"/>
          <w:sz w:val="18"/>
        </w:rPr>
        <w:t xml:space="preserve">Funktionsverlagerungsverordnung</w:t>
      </w:r>
    </w:p>
    <w:p>
      <w:r>
        <w:rPr>
          <w:color w:val="555555"/>
          <w:sz w:val="18"/>
        </w:rPr>
        <w:t xml:space="preserve">Stand: 26.10.2022 (konsolidierte Textfassung, kein amtliches Inkrafttretensdatum)</w:t>
      </w:r>
    </w:p>
    <w:p>
      <w:r>
        <w:t xml:space="preserve">Diese Verordnung tritt am Tag nach der Verkündung in Kraft. Gleichzeitig tritt die Funktionsverlagerungsverordnung vom 12. August 2008 (BGBl. I S. 1680), die durch Artikel 24 des Gesetzes vom 26. Juni 2013 (BGBl. I S. 1809) geändert worden ist, außer Kraft.</w:t>
      </w:r>
    </w:p>
    <w:p>
      <w:r>
        <w:rPr>
          <w:color w:val="555555"/>
          <w:sz w:val="17"/>
        </w:rPr>
        <w:t xml:space="preserve">Zitiervorschlag: § 10 FVerlV 2022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https://recht.nulegal.eu/gesetze/FVerlV%202022/10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