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FVerlV 2022 — Begriffsbestimmungen</w:t>
      </w:r>
    </w:p>
    <w:p>
      <w:r>
        <w:rPr>
          <w:color w:val="555555"/>
          <w:sz w:val="18"/>
        </w:rPr>
        <w:t xml:space="preserve">Funktionsverlagerungsverordnung</w:t>
      </w:r>
    </w:p>
    <w:p>
      <w:r>
        <w:rPr>
          <w:color w:val="555555"/>
          <w:sz w:val="18"/>
        </w:rPr>
        <w:t xml:space="preserve">Stand: 26.10.2022 (konsolidierte Textfassung, kein amtliches Inkrafttretensdatum)</w:t>
      </w:r>
    </w:p>
    <w:p>
      <w:r>
        <w:t xml:space="preserve">(1) Eine Funktion ist eine Geschäftstätigkeit, die aus einer Zusammenfassung gleichartiger betrieblicher Aufgaben besteht, die von bestimmten Stellen oder Abteilungen eines Unternehmens erledigt werden. Sie ist ein organischer Teil eines Unternehmens, ohne dass ein Teilbetrieb im steuerlichen Sinn vorliegen muss.</w:t>
      </w:r>
    </w:p>
    <w:p>
      <w:r>
        <w:t xml:space="preserve">(2) Eine Funktionsverlagerung im Sinne des § 1 Absatz 3b des Gesetzes liegt vor, wenn eine Funktion einschließlich der dazugehörigen Chancen und Risiken sowie der mitübertragenen oder mitüberlassenen Wirtschaftsgüter oder sonstigen Vorteile ganz oder teilweise übertragen oder überlassen wird, so dass das übernehmende Unternehmen diese Funktion ausüben oder eine bestehende Funktion ausweiten kann. Die nach Satz 1 verlagerte Funktion als Ganzes bildet das Transferpaket. Geschäftsvorfälle, die innerhalb von fünf Wirtschaftsjahren verwirklicht werden, sind zu dem Zeitpunkt, zu dem die Voraussetzungen des Satzes 1 durch ihre gemeinsame Verwirklichung wirtschaftlich erfüllt sind, als einheitliche Funktionsverlagerung zusammenzufassen.</w:t>
      </w:r>
    </w:p>
    <w:p>
      <w:r>
        <w:t xml:space="preserve">(3) Immaterielle Wirtschaftsgüter sind in Fällen von Funktionsverlagerungen wesentlich im Sinne des § 1 Absatz 3b Satz 2 des Gesetzes, wenn sie für die verlagerte Funktion erforderlich sind und ihr Fremdvergleichspreis insgesamt mehr als 25 Prozent der Summe der Einzelpreise aller Wirtschaftsgüter und sonstigen Vorteile des Transferpakets beträgt und dies unter Berücksichtigung der Auswirkungen der Funktionsverlagerung, die aus den Aufzeichnungen im Sinne des § 2 Satz 2 hervorgehen, glaubhaft ist.</w:t>
      </w:r>
    </w:p>
    <w:p>
      <w:r>
        <w:t xml:space="preserve">(4) Erbringt ein übernehmendes Unternehmen die bisher ausschließlich gegenüber dem verlagernden Unternehmen erbrachten Leistungen eigenständig, ganz oder teilweise, gegenüber anderen Unternehmen zu Preisen, die höher sind als das Entgelt nach der Kostenaufschlagsmethode oder die entsprechend dem Fremdvergleichsgrundsatz höher anzusetzen sind, ist zum Zeitpunkt der erstmaligen Erbringung gegenüber den anderen Unternehmen für bisher unentgeltlich vom verlagernden Unternehmen für die Leistungserbringung zur Verfügung gestellte Wirtschaftsgüter und sonstige Vorteile ein Entgelt entsprechend § 2 zu verrechnen; die betreffenden Wirtschaftsgüter oder sonstigen Vorteile gelten als ein Transferpaket, soweit hierfür die sonstigen Voraussetzungen gegeben sind.</w:t>
      </w:r>
    </w:p>
    <w:p>
      <w:r>
        <w:t xml:space="preserve">(5) Eine Funktionsverlagerung im Sinne des Absatzes 2 liegt nicht vor, wenn es innerhalb von fünf Jahren nach Aufnahme der Funktion durch das übernehmende Unternehmen zu keiner Einschränkung der Ausübung der betreffenden Funktion beim verlagernden Unternehmen kommt, obwohl die übrigen Voraussetzungen des Absatzes 2 Satz 1 erfüllt sind (Funktionsverdoppelung). Kommt es innerhalb dieses Zeitraums zu einer solchen Einschränkung, liegt zum Zeitpunkt, in dem die Einschränkung eintritt, insgesamt eine Funktionsverlagerung vor, es sei denn, der Steuerpflichtige macht glaubhaft, dass diese Einschränkung nicht in unmittelbarem wirtschaftlichen Zusammenhang mit der Funktionsverdoppelung steht.</w:t>
      </w:r>
    </w:p>
    <w:p>
      <w:r>
        <w:rPr>
          <w:color w:val="555555"/>
          <w:sz w:val="17"/>
        </w:rPr>
        <w:t xml:space="preserve">Zitiervorschlag: § 1 FVerlV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https://recht.nulegal.eu/gesetze/FVerlV%202022/1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