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FVerkWBV — Inkrafttreten</w:t>
      </w:r>
    </w:p>
    <w:p>
      <w:r>
        <w:rPr>
          <w:color w:val="555555"/>
          <w:sz w:val="18"/>
        </w:rPr>
        <w:t xml:space="preserve">Fernverkehrswegebestimmungsverordnung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4 FVerkWBV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https://recht.nulegal.eu/gesetze/FVerkWBV/4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