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FVerkWBV — Bundeswasserstraßen</w:t>
      </w:r>
    </w:p>
    <w:p>
      <w:r>
        <w:rPr>
          <w:color w:val="555555"/>
          <w:sz w:val="18"/>
        </w:rPr>
        <w:t xml:space="preserve">Fernverkehrswegebestimmungsverordnung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Fernverkehrswege im Sinne des § 1 Abs. 1 Nr. 5 des Verkehrswegeplanungsbeschleunigungsgesetzes sind die folgenden Bundeswasserstraßen:</w:t>
      </w:r>
    </w:p>
    <w:p>
      <w:pPr>
        <w:ind w:left="420"/>
      </w:pPr>
      <w:r>
        <w:t xml:space="preserve">1. Elbe zwischen der Landesgrenze Mecklenburg-Vorpommern und der Einmündung des Elbe-Seitenkanals,</w:t>
      </w:r>
    </w:p>
    <w:p>
      <w:pPr>
        <w:ind w:left="420"/>
      </w:pPr>
      <w:r>
        <w:t xml:space="preserve">2. Mittellandkanal zwischen der Landesgrenze Sachsen-Anhalt und dem Wasserstraßenkreuz Minden.</w:t>
      </w:r>
    </w:p>
    <w:p>
      <w:r>
        <w:rPr>
          <w:color w:val="555555"/>
          <w:sz w:val="17"/>
        </w:rPr>
        <w:t xml:space="preserve">Zitiervorschlag: § 3 FVerkWBV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https://recht.nulegal.eu/gesetze/FVerkWBV/3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