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FVGebO (Bayern)</w:t>
      </w:r>
    </w:p>
    <w:p>
      <w:r>
        <w:rPr>
          <w:color w:val="555555"/>
          <w:sz w:val="18"/>
        </w:rPr>
        <w:t xml:space="preserve">Gebührenordnung zur Fahrzeugverwahrung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15. Januar 2002</w:t>
      </w:r>
    </w:p>
    <w:p>
      <w:r>
        <w:t xml:space="preserve">Bayerisches Staatsministerium des Innern</w:t>
      </w:r>
    </w:p>
    <w:p>
      <w:r>
        <w:t xml:space="preserve">Dr.Günther Beckstein, Staatsminister</w:t>
      </w:r>
    </w:p>
    <w:p>
      <w:r>
        <w:rPr>
          <w:color w:val="555555"/>
          <w:sz w:val="17"/>
        </w:rPr>
        <w:t xml:space="preserve">Zitiervorschlag: Schlussformel FVGebO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https://recht.nulegal.eu/gesetze/FVGebO/schlussformel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