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FVGebO (Bayern)</w:t>
      </w:r>
    </w:p>
    <w:p>
      <w:r>
        <w:rPr>
          <w:color w:val="555555"/>
          <w:sz w:val="18"/>
        </w:rPr>
        <w:t xml:space="preserve">Gebührenordnung zur Fahrzeugverwahrung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21 Abs. 1 Satz 1 des Kostengesetzes vom 20. Februar 1998 (GVBl S. 43, BayRS 2013–1–1–F), zuletzt geändert durch § 3 des Gesetzes vom 23. November 2001 (GVBl S. 739), erlässt das Bayerische Staatsministerium des Innern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FVGebO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https://recht.nulegal.eu/gesetze/FVGebO/eingangsformel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