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FVGebO (Bayern) — In-Kraft-Treten</w:t>
      </w:r>
    </w:p>
    <w:p>
      <w:r>
        <w:rPr>
          <w:color w:val="555555"/>
          <w:sz w:val="18"/>
        </w:rPr>
        <w:t xml:space="preserve">Gebührenordnung zur Fahrzeugverwahrung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Februar 2002 in Kraft.</w:t>
      </w:r>
    </w:p>
    <w:p>
      <w:r>
        <w:rPr>
          <w:color w:val="555555"/>
          <w:sz w:val="17"/>
        </w:rPr>
        <w:t xml:space="preserve">Zitiervorschlag: § 8 FVGebO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https://recht.nulegal.eu/gesetze/FVGebO/8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