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FVGebO (Bayern) — Gebührenerhebung</w:t>
      </w:r>
    </w:p>
    <w:p>
      <w:r>
        <w:rPr>
          <w:color w:val="555555"/>
          <w:sz w:val="18"/>
        </w:rPr>
        <w:t xml:space="preserve">Gebührenordnung zur Fahrzeugverwahrung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der Erhebung der Benutzungsgebühren kann abgesehen werden, soweit sie der Billigkeit widerspricht.</w:t>
      </w:r>
    </w:p>
    <w:p>
      <w:r>
        <w:rPr>
          <w:color w:val="555555"/>
          <w:sz w:val="17"/>
        </w:rPr>
        <w:t xml:space="preserve">Zitiervorschlag: § 5 FVGebO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https://recht.nulegal.eu/gesetze/FVGebO/5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