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FVGebO (Bayern) — Gebührenermäßigung</w:t>
      </w:r>
    </w:p>
    <w:p>
      <w:r>
        <w:rPr>
          <w:color w:val="555555"/>
          <w:sz w:val="18"/>
        </w:rPr>
        <w:t xml:space="preserve">Gebührenordnung zur Fahrzeugverwahrung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Verwahrung eines gestohlenen oder sonst abhanden gekommenen Fahrzeugs ist neben der Grundgebühr eine Tagesgebühr und in den Fällen des § 2 Abs. 5 eine Abholgebühr nur zu entrichten</w:t>
      </w:r>
    </w:p>
    <w:p>
      <w:r>
        <w:t xml:space="preserve">1. bis zur Verlustanzeige bei einer Polizeidienststelle,</w:t>
      </w:r>
    </w:p>
    <w:p>
      <w:r>
        <w:t xml:space="preserve">2. ab dem vierten Tag nach Zustellung der Aufforderung, das Fahrzeug abzuholen.</w:t>
      </w:r>
    </w:p>
    <w:p>
      <w:r>
        <w:t xml:space="preserve">(2) Für die Verwahrung eines Fahrzeugs, das im Rahmen eines Straf- oder Bußgeldverfahrens beschlagnahmt oder sichergestellt worden war und anschließend freigegeben wurde, ist eine Tagesgebühr und in den Fällen des § 2 Abs. 5 eine Abholgebühr erst ab dem vierten Tag nach Zustellung der Mitteilung über die Freigabe des Fahrzeugs zu entrichten. Eine Grundgebühr wird nicht erhoben.</w:t>
      </w:r>
    </w:p>
    <w:p>
      <w:r>
        <w:rPr>
          <w:color w:val="555555"/>
          <w:sz w:val="17"/>
        </w:rPr>
        <w:t xml:space="preserve">Zitiervorschlag: § 3 FVGebO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https://recht.nulegal.eu/gesetze/FVGebO/3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