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FVG1971§5Abs7S4StVV — Grundregel</w:t>
      </w:r>
    </w:p>
    <w:p>
      <w:r>
        <w:rPr>
          <w:color w:val="555555"/>
          <w:sz w:val="18"/>
        </w:rPr>
        <w:t xml:space="preserve">Verordnung zur Verteilung des Steueraufkommens aus dem Steuerabzugs- und Veranlagungsverfahren nach § 5 Absatz 7 Satz 4 des Finanzverwaltungsgesetzes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auf die Länder einschließlich ihrer Gemeinden entfallende Aufkommen des Bundeszentralamts für Steuern aus der Ausübung der Aufgabe nach § 5 Absatz 1 Nummer 12 des Finanzverwaltungsgesetzes gebührt dem Land, dessen Finanzbehörde für die Besteuerung vom Einkommen des Vergütungsschuldners örtlich zuständig ist. Ist der Vergütungsschuldner keine Körperschaft und stimmen Betriebs- und Wohnsitzfinanzamt nicht überein, ist das Betriebsfinanzamt maßgebend.</w:t>
      </w:r>
    </w:p>
    <w:p>
      <w:r>
        <w:t xml:space="preserve">(2) Sofern eine Veranlagung nach § 50 Absatz 2 Satz 2 Nummer 5 des Einkommensteuergesetzes beantragt wird und der hierauf anzurechnende Steuerabzug nach § 50a des Einkommensteuergesetzes von Vergütungsschuldnern vorgenommen wurde, für deren Besteuerung vom Einkommen Finanzbehörden verschiedener Länder örtlich zuständig sind, steht der auf die Länder einschließlich ihrer Gemeinden entfallende Anteil am Zahl- oder Erstattungsbetrag dem Land zu, dessen Finanzbehörde nach Maßgabe der Abgabenordnung für die Veranlagung zuständig gewesen wäre.</w:t>
      </w:r>
    </w:p>
    <w:p>
      <w:r>
        <w:rPr>
          <w:color w:val="555555"/>
          <w:sz w:val="17"/>
        </w:rPr>
        <w:t xml:space="preserve">Zitiervorschlag: § 1 FVG1971§5Abs7S4StVV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https://recht.nulegal.eu/gesetze/FVG1971%C2%A75Abs7S4StVV/1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