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FVG§5Abs2DV 1977 — Aufteilung der Länderanteile an den Steuererstattungen, den Steuervergütungen und der anläßlich der Vergütung von Körperschaftsteuer vereinnahmten Kapitalertragsteuer</w:t>
      </w:r>
    </w:p>
    <w:p>
      <w:r>
        <w:rPr>
          <w:color w:val="555555"/>
          <w:sz w:val="18"/>
        </w:rPr>
        <w:t xml:space="preserve">Verordnung zur Durchführung des § 5 Abs. 2 des Finanzverwaltungsgesetzes</w:t>
      </w:r>
    </w:p>
    <w:p>
      <w:r>
        <w:rPr>
          <w:color w:val="555555"/>
          <w:sz w:val="18"/>
        </w:rPr>
        <w:t xml:space="preserve">Stand: 10.06.2019 (konsolidierte Textfassung, kein amtliches Inkrafttretensdatum)</w:t>
      </w:r>
    </w:p>
    <w:p>
      <w:r>
        <w:t xml:space="preserve">(1) Maßgebendes Aufkommen für die Aufteilung der Anteile der Länder, einschließlich der Gemeinden, an den vom Bundeszentralamt für Steuern durchgeführten Steuererstattungen und Steuervergütungen entsprechend § 1, an der nach § 44b Absatz 6 Satz 1 bis 3 des Einkommensteuergesetzes erstatteten Kapitalertragsteuer sowie an der vom Bundeszentralamt für Steuern anlässlich der Vergütung von Körperschaftsteuer vereinnahmten Kapitalertragsteuer auf die einzelnen Länder nach § 5 Absatz 2 Satz 3 des Gesetzes sind die jeweiligen Steuereinnahmen des Vorjahres nach § 7 Absatz 1 des Gesetzes über den Finanzausgleich zwischen Bund und Ländern in der jeweils gültigen Fassung unter Berücksichtigung der Zerlegungsanteile nach dem Zerlegungsgesetz in der jeweils gültigen Fassung jedoch ohne Berücksichtigung der nach § 44b Absatz 6 Satz 1 bis 3 des Einkommensteuergesetzes erstatteten Kapitalertragsteuer.</w:t>
      </w:r>
    </w:p>
    <w:p>
      <w:r>
        <w:t xml:space="preserve">(2) Solange das für die Aufteilung auf die Länder maßgebende Vorjahresaufkommen noch nicht feststeht, sind die Abrechnungen nach den letzten bekannten Jahressteuereinnahmen vorläufig durchzuführen. Die vorläufigen Abrechnungen sind durch endgültige zu ersetzen, sobald die für die Aufteilung auf die Länder maßgebenden Aufkommenszahlen des Vorjahres vorliegen.</w:t>
      </w:r>
    </w:p>
    <w:p>
      <w:r>
        <w:rPr>
          <w:color w:val="555555"/>
          <w:sz w:val="17"/>
        </w:rPr>
        <w:t xml:space="preserve">Zitiervorschlag: § 2 FVG§5Abs2DV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https://recht.nulegal.eu/gesetze/FVG%C2%A75Abs2DV%201977/2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