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FVG 1971 — Aufgaben und Gliederung</w:t>
      </w:r>
    </w:p>
    <w:p>
      <w:r>
        <w:rPr>
          <w:color w:val="555555"/>
          <w:sz w:val="18"/>
        </w:rPr>
        <w:t xml:space="preserve">Finanzverwaltungsgesetz</w:t>
      </w:r>
    </w:p>
    <w:p>
      <w:r>
        <w:rPr>
          <w:color w:val="555555"/>
          <w:sz w:val="18"/>
        </w:rPr>
        <w:t xml:space="preserve">Stand: 25.01.2021 (konsolidierte Textfassung, kein amtliches Inkrafttretensdatum)</w:t>
      </w:r>
    </w:p>
    <w:p>
      <w:r>
        <w:t xml:space="preserve">(1) Die Mittelbehörden leiten die Finanzverwaltung des jeweiligen Landes in ihrem Bezirk. Einer Mittelbehörde kann auch die Leitung der Finanzverwaltung eines Landes für mehrere Oberfinanzbezirke übertragen werden. Die Mittelbehörden können weitere Aufgaben erledigen.</w:t>
      </w:r>
    </w:p>
    <w:p>
      <w:r>
        <w:t xml:space="preserve">(2) Die Mittelbehörden können sich in eine Besitz- und Verkehrsteuerabteilung und eine Landesbauabteilung oder Landesvermögens- und Bauabteilung gliedern. Außerdem können weitere Landesabteilungen oder andere Organisationseinheiten des Landes eingerichtet werden.</w:t>
      </w:r>
    </w:p>
    <w:p>
      <w:r>
        <w:t xml:space="preserve">(3) Durch Rechtsverordnung können Aufgaben einer Mittelbehörde für den ganzen Bezirk oder einen Teil davon auf andere Mittelbehörden übertragen werden, wenn dadurch der Vollzug der Aufgaben verbessert oder erleichtert wird. Die Rechtsverordnung erlässt die zuständige Landesregierung. Die Landesregierung kann die Ermächtigung auf die für die Finanzverwaltung zuständige oberste Landesbehörde übertragen.</w:t>
      </w:r>
    </w:p>
    <w:p>
      <w:r>
        <w:t xml:space="preserve">(4) Die Besitz- und Verkehrsteuerabteilung leitet die Durchführung der Aufgaben, für deren Erledigung die Finanzämter zuständig sind. Außerdem erledigt sie die ihr sonst übertragenen Aufgaben.</w:t>
      </w:r>
    </w:p>
    <w:p>
      <w:r>
        <w:rPr>
          <w:color w:val="555555"/>
          <w:sz w:val="17"/>
        </w:rPr>
        <w:t xml:space="preserve">Zitiervorschlag: § 8a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