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 FVG 1971 — Bezirk und Sitz</w:t>
      </w:r>
    </w:p>
    <w:p>
      <w:r>
        <w:rPr>
          <w:color w:val="555555"/>
          <w:sz w:val="18"/>
        </w:rPr>
        <w:t xml:space="preserve">Finanzverwaltungsgesetz</w:t>
      </w:r>
    </w:p>
    <w:p>
      <w:r>
        <w:rPr>
          <w:color w:val="555555"/>
          <w:sz w:val="18"/>
        </w:rPr>
        <w:t xml:space="preserve">Stand: 25.01.2021 (konsolidierte Textfassung, kein amtliches Inkrafttretensdatum)</w:t>
      </w:r>
    </w:p>
    <w:p>
      <w:r>
        <w:t xml:space="preserve">Die obersten Landesbehörden bestimmen den Bezirk und Sitz der Mittelbehörde, die ihnen jeweils untersteht.</w:t>
      </w:r>
    </w:p>
    <w:p>
      <w:r>
        <w:rPr>
          <w:color w:val="555555"/>
          <w:sz w:val="17"/>
        </w:rPr>
        <w:t xml:space="preserve">Zitiervorschlag: § 7 FVG 1971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https://recht.nulegal.eu/gesetze/FVG%201971/7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