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FVG 1971 — Sitz und Aufgaben der Landesoberbehörde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Finanzverwaltung zuständige oberste Landesbehörde bestimmt den Sitz der Landesoberbehörde, soweit durch Gesetz nichts anderes bestimmt ist.</w:t>
      </w:r>
    </w:p>
    <w:p>
      <w:r>
        <w:t xml:space="preserve">(2) Die Landesoberbehörde erledigt Aufgaben, die ihr nach Maßgabe des § 17 Abs. 3 Satz 1 zugewiesen werden und die ihr sonst übertragenen Aufgaben.</w:t>
      </w:r>
    </w:p>
    <w:p>
      <w:r>
        <w:t xml:space="preserve">(3) Für die Ernennung und Entlassung des Leiters einer Oberbehörde, die nach § 2 Abs. 1 Nr. 3 anstelle einer Oberfinanzdirektion tritt, gilt § 9a Satz 3 entsprechend.</w:t>
      </w:r>
    </w:p>
    <w:p>
      <w:r>
        <w:rPr>
          <w:color w:val="555555"/>
          <w:sz w:val="17"/>
        </w:rPr>
        <w:t xml:space="preserve">Zitiervorschlag: § 6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